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F2282" w14:textId="77777777" w:rsidR="00E346FF" w:rsidRPr="00E779ED" w:rsidRDefault="00E346FF" w:rsidP="00E346FF">
      <w:pPr>
        <w:pStyle w:val="Heading1"/>
        <w:rPr>
          <w:rFonts w:ascii="Verdana" w:hAnsi="Verdana"/>
        </w:rPr>
      </w:pPr>
      <w:r w:rsidRPr="00E779ED">
        <w:rPr>
          <w:rFonts w:ascii="Verdana" w:hAnsi="Verdana"/>
        </w:rPr>
        <w:t>Risk Integration Maturity Assessment</w:t>
      </w:r>
    </w:p>
    <w:p w14:paraId="246B79F2" w14:textId="77777777" w:rsidR="00E346FF" w:rsidRPr="00E779ED" w:rsidRDefault="00E346FF" w:rsidP="00E346FF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779ED">
        <w:rPr>
          <w:rFonts w:ascii="Verdana" w:hAnsi="Verdana"/>
          <w:b/>
          <w:bCs/>
        </w:rPr>
        <w:t xml:space="preserve">PURPOSE: </w:t>
      </w:r>
      <w:r w:rsidRPr="00E779ED">
        <w:rPr>
          <w:rFonts w:ascii="Verdana" w:hAnsi="Verdana"/>
        </w:rPr>
        <w:t>Helps organizations evaluate how effectively they've integrated cybersecurity risk with broader business risk management, identifying specific improvement opportunities.</w:t>
      </w:r>
    </w:p>
    <w:p w14:paraId="4A31EC8A" w14:textId="77777777" w:rsidR="00E346FF" w:rsidRPr="00E779ED" w:rsidRDefault="00E346FF" w:rsidP="00E346FF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779ED">
        <w:rPr>
          <w:rFonts w:ascii="Verdana" w:hAnsi="Verdana"/>
          <w:b/>
          <w:bCs/>
        </w:rPr>
        <w:t xml:space="preserve">WHEN TO USE: </w:t>
      </w:r>
      <w:r w:rsidRPr="00E779ED">
        <w:rPr>
          <w:rFonts w:ascii="Verdana" w:hAnsi="Verdana"/>
        </w:rPr>
        <w:t>During strategic planning, prior to major security initiatives, or as part of annual security program assessments.</w:t>
      </w:r>
    </w:p>
    <w:p w14:paraId="784C49BD" w14:textId="77777777" w:rsidR="00E346FF" w:rsidRPr="00E779ED" w:rsidRDefault="00E346FF" w:rsidP="00E346FF">
      <w:pPr>
        <w:rPr>
          <w:rFonts w:ascii="Verdana" w:hAnsi="Verdana"/>
        </w:rPr>
      </w:pPr>
      <w:r w:rsidRPr="00E779ED">
        <w:rPr>
          <w:rFonts w:ascii="Verdana" w:hAnsi="Verdana"/>
        </w:rPr>
        <w:t>Rate each dimension from 1 (Siloed) to 5 (Fully Integrated)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059"/>
        <w:gridCol w:w="2674"/>
        <w:gridCol w:w="2442"/>
        <w:gridCol w:w="2689"/>
        <w:gridCol w:w="926"/>
      </w:tblGrid>
      <w:tr w:rsidR="00E346FF" w:rsidRPr="00E779ED" w14:paraId="2ABE7EB2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B5CF2C" w14:textId="77777777" w:rsidR="00E346FF" w:rsidRPr="00E779ED" w:rsidRDefault="00E346FF" w:rsidP="005C3B97">
            <w:pPr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Integration Dimension</w:t>
            </w:r>
          </w:p>
        </w:tc>
        <w:tc>
          <w:tcPr>
            <w:tcW w:w="0" w:type="auto"/>
            <w:hideMark/>
          </w:tcPr>
          <w:p w14:paraId="56D99A08" w14:textId="77777777" w:rsidR="00E346FF" w:rsidRPr="00E779ED" w:rsidRDefault="00E346FF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Siloed (1)</w:t>
            </w:r>
          </w:p>
        </w:tc>
        <w:tc>
          <w:tcPr>
            <w:tcW w:w="0" w:type="auto"/>
            <w:hideMark/>
          </w:tcPr>
          <w:p w14:paraId="74F716F2" w14:textId="77777777" w:rsidR="00E346FF" w:rsidRPr="00E779ED" w:rsidRDefault="00E346FF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Developing (3)</w:t>
            </w:r>
          </w:p>
        </w:tc>
        <w:tc>
          <w:tcPr>
            <w:tcW w:w="0" w:type="auto"/>
            <w:hideMark/>
          </w:tcPr>
          <w:p w14:paraId="46382D49" w14:textId="77777777" w:rsidR="00E346FF" w:rsidRPr="00E779ED" w:rsidRDefault="00E346FF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Integrated (5)</w:t>
            </w:r>
          </w:p>
        </w:tc>
        <w:tc>
          <w:tcPr>
            <w:tcW w:w="0" w:type="auto"/>
            <w:hideMark/>
          </w:tcPr>
          <w:p w14:paraId="742E2E98" w14:textId="77777777" w:rsidR="00E346FF" w:rsidRPr="00E779ED" w:rsidRDefault="00E346FF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Your Score</w:t>
            </w:r>
          </w:p>
        </w:tc>
      </w:tr>
      <w:tr w:rsidR="00E346FF" w:rsidRPr="00E779ED" w14:paraId="03D1CA6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0F47B5" w14:textId="77777777" w:rsidR="00E346FF" w:rsidRPr="00E779ED" w:rsidRDefault="00E346FF" w:rsidP="005C3B97">
            <w:pPr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Governance Structure</w:t>
            </w:r>
          </w:p>
        </w:tc>
        <w:tc>
          <w:tcPr>
            <w:tcW w:w="0" w:type="auto"/>
            <w:hideMark/>
          </w:tcPr>
          <w:p w14:paraId="0A3ECAD1" w14:textId="77777777" w:rsidR="00E346FF" w:rsidRPr="00E779ED" w:rsidRDefault="00E346FF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Security and risk functions report through separate channels with minimal coordination</w:t>
            </w:r>
          </w:p>
        </w:tc>
        <w:tc>
          <w:tcPr>
            <w:tcW w:w="0" w:type="auto"/>
            <w:hideMark/>
          </w:tcPr>
          <w:p w14:paraId="25F76229" w14:textId="77777777" w:rsidR="00E346FF" w:rsidRPr="00E779ED" w:rsidRDefault="00E346FF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Some cross-functional coordination exists but with separate decision processes</w:t>
            </w:r>
          </w:p>
        </w:tc>
        <w:tc>
          <w:tcPr>
            <w:tcW w:w="0" w:type="auto"/>
            <w:hideMark/>
          </w:tcPr>
          <w:p w14:paraId="1E7D7525" w14:textId="77777777" w:rsidR="00E346FF" w:rsidRPr="00E779ED" w:rsidRDefault="00E346FF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Unified governance structure with security fully integrated into enterprise risk management</w:t>
            </w:r>
          </w:p>
        </w:tc>
        <w:tc>
          <w:tcPr>
            <w:tcW w:w="0" w:type="auto"/>
            <w:hideMark/>
          </w:tcPr>
          <w:p w14:paraId="4E03D366" w14:textId="77777777" w:rsidR="00E346FF" w:rsidRPr="00E779ED" w:rsidRDefault="00E346FF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346FF" w:rsidRPr="00E779ED" w14:paraId="3CE410C4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4F46F6" w14:textId="77777777" w:rsidR="00E346FF" w:rsidRPr="00E779ED" w:rsidRDefault="00E346FF" w:rsidP="005C3B97">
            <w:pPr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Risk Assessment Method</w:t>
            </w:r>
          </w:p>
        </w:tc>
        <w:tc>
          <w:tcPr>
            <w:tcW w:w="0" w:type="auto"/>
            <w:hideMark/>
          </w:tcPr>
          <w:p w14:paraId="566207E9" w14:textId="77777777" w:rsidR="00E346FF" w:rsidRPr="00E779ED" w:rsidRDefault="00E346FF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Separate methodologies for cyber and business risks</w:t>
            </w:r>
          </w:p>
        </w:tc>
        <w:tc>
          <w:tcPr>
            <w:tcW w:w="0" w:type="auto"/>
            <w:hideMark/>
          </w:tcPr>
          <w:p w14:paraId="09D6467F" w14:textId="77777777" w:rsidR="00E346FF" w:rsidRPr="00E779ED" w:rsidRDefault="00E346FF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Common methodology but separate execution</w:t>
            </w:r>
          </w:p>
        </w:tc>
        <w:tc>
          <w:tcPr>
            <w:tcW w:w="0" w:type="auto"/>
            <w:hideMark/>
          </w:tcPr>
          <w:p w14:paraId="7C5B293C" w14:textId="77777777" w:rsidR="00E346FF" w:rsidRPr="00E779ED" w:rsidRDefault="00E346FF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Single, unified risk assessment process incorporating both technical and business factors</w:t>
            </w:r>
          </w:p>
        </w:tc>
        <w:tc>
          <w:tcPr>
            <w:tcW w:w="0" w:type="auto"/>
            <w:hideMark/>
          </w:tcPr>
          <w:p w14:paraId="5049DE5A" w14:textId="77777777" w:rsidR="00E346FF" w:rsidRPr="00E779ED" w:rsidRDefault="00E346FF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346FF" w:rsidRPr="00E779ED" w14:paraId="0A55AB55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640287" w14:textId="77777777" w:rsidR="00E346FF" w:rsidRPr="00E779ED" w:rsidRDefault="00E346FF" w:rsidP="005C3B97">
            <w:pPr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Risk Language</w:t>
            </w:r>
          </w:p>
        </w:tc>
        <w:tc>
          <w:tcPr>
            <w:tcW w:w="0" w:type="auto"/>
            <w:hideMark/>
          </w:tcPr>
          <w:p w14:paraId="5BC1A7EB" w14:textId="77777777" w:rsidR="00E346FF" w:rsidRPr="00E779ED" w:rsidRDefault="00E346FF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Heavy technical jargon in security; financial terms in business risk</w:t>
            </w:r>
          </w:p>
        </w:tc>
        <w:tc>
          <w:tcPr>
            <w:tcW w:w="0" w:type="auto"/>
            <w:hideMark/>
          </w:tcPr>
          <w:p w14:paraId="2F53C906" w14:textId="77777777" w:rsidR="00E346FF" w:rsidRPr="00E779ED" w:rsidRDefault="00E346FF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Some translation between domains but inconsistent</w:t>
            </w:r>
          </w:p>
        </w:tc>
        <w:tc>
          <w:tcPr>
            <w:tcW w:w="0" w:type="auto"/>
            <w:hideMark/>
          </w:tcPr>
          <w:p w14:paraId="3C53BF2D" w14:textId="77777777" w:rsidR="00E346FF" w:rsidRPr="00E779ED" w:rsidRDefault="00E346FF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Consistent enterprise-wide risk terminology with both technical precision and business clarity</w:t>
            </w:r>
          </w:p>
        </w:tc>
        <w:tc>
          <w:tcPr>
            <w:tcW w:w="0" w:type="auto"/>
            <w:hideMark/>
          </w:tcPr>
          <w:p w14:paraId="73D9EC93" w14:textId="77777777" w:rsidR="00E346FF" w:rsidRPr="00E779ED" w:rsidRDefault="00E346FF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346FF" w:rsidRPr="00E779ED" w14:paraId="02CB2353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9A8CF6" w14:textId="77777777" w:rsidR="00E346FF" w:rsidRPr="00E779ED" w:rsidRDefault="00E346FF" w:rsidP="005C3B97">
            <w:pPr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Budget Allocation</w:t>
            </w:r>
          </w:p>
        </w:tc>
        <w:tc>
          <w:tcPr>
            <w:tcW w:w="0" w:type="auto"/>
            <w:hideMark/>
          </w:tcPr>
          <w:p w14:paraId="2B1E6BDF" w14:textId="77777777" w:rsidR="00E346FF" w:rsidRPr="00E779ED" w:rsidRDefault="00E346FF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Security budget separate from business unit budgets</w:t>
            </w:r>
          </w:p>
        </w:tc>
        <w:tc>
          <w:tcPr>
            <w:tcW w:w="0" w:type="auto"/>
            <w:hideMark/>
          </w:tcPr>
          <w:p w14:paraId="491D0DD2" w14:textId="77777777" w:rsidR="00E346FF" w:rsidRPr="00E779ED" w:rsidRDefault="00E346FF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Some input from business units on security spending</w:t>
            </w:r>
          </w:p>
        </w:tc>
        <w:tc>
          <w:tcPr>
            <w:tcW w:w="0" w:type="auto"/>
            <w:hideMark/>
          </w:tcPr>
          <w:p w14:paraId="7AA819E3" w14:textId="77777777" w:rsidR="00E346FF" w:rsidRPr="00E779ED" w:rsidRDefault="00E346FF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Security investments allocated based on business risk and owned jointly</w:t>
            </w:r>
          </w:p>
        </w:tc>
        <w:tc>
          <w:tcPr>
            <w:tcW w:w="0" w:type="auto"/>
            <w:hideMark/>
          </w:tcPr>
          <w:p w14:paraId="1DF6092F" w14:textId="77777777" w:rsidR="00E346FF" w:rsidRPr="00E779ED" w:rsidRDefault="00E346FF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346FF" w:rsidRPr="00E779ED" w14:paraId="55F5AA84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16D30F" w14:textId="77777777" w:rsidR="00E346FF" w:rsidRPr="00E779ED" w:rsidRDefault="00E346FF" w:rsidP="005C3B97">
            <w:pPr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Incident Response</w:t>
            </w:r>
          </w:p>
        </w:tc>
        <w:tc>
          <w:tcPr>
            <w:tcW w:w="0" w:type="auto"/>
            <w:hideMark/>
          </w:tcPr>
          <w:p w14:paraId="74ABD139" w14:textId="77777777" w:rsidR="00E346FF" w:rsidRPr="00E779ED" w:rsidRDefault="00E346FF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Technical team handles incidents with minimal business involvement</w:t>
            </w:r>
          </w:p>
        </w:tc>
        <w:tc>
          <w:tcPr>
            <w:tcW w:w="0" w:type="auto"/>
            <w:hideMark/>
          </w:tcPr>
          <w:p w14:paraId="7E866254" w14:textId="77777777" w:rsidR="00E346FF" w:rsidRPr="00E779ED" w:rsidRDefault="00E346FF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Business stakeholders involved after technical assessment</w:t>
            </w:r>
          </w:p>
        </w:tc>
        <w:tc>
          <w:tcPr>
            <w:tcW w:w="0" w:type="auto"/>
            <w:hideMark/>
          </w:tcPr>
          <w:p w14:paraId="04771CA4" w14:textId="77777777" w:rsidR="00E346FF" w:rsidRPr="00E779ED" w:rsidRDefault="00E346FF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Joint business and technical teams with pre-defined business impact thresholds</w:t>
            </w:r>
          </w:p>
        </w:tc>
        <w:tc>
          <w:tcPr>
            <w:tcW w:w="0" w:type="auto"/>
            <w:hideMark/>
          </w:tcPr>
          <w:p w14:paraId="6892773F" w14:textId="77777777" w:rsidR="00E346FF" w:rsidRPr="00E779ED" w:rsidRDefault="00E346FF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346FF" w:rsidRPr="00E779ED" w14:paraId="5209F278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9B62BE" w14:textId="77777777" w:rsidR="00E346FF" w:rsidRPr="00E779ED" w:rsidRDefault="00E346FF" w:rsidP="005C3B97">
            <w:pPr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Risk Appetite Definition</w:t>
            </w:r>
          </w:p>
        </w:tc>
        <w:tc>
          <w:tcPr>
            <w:tcW w:w="0" w:type="auto"/>
            <w:hideMark/>
          </w:tcPr>
          <w:p w14:paraId="0027F63C" w14:textId="77777777" w:rsidR="00E346FF" w:rsidRPr="00E779ED" w:rsidRDefault="00E346FF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Separate risk appetites for security vs. business</w:t>
            </w:r>
          </w:p>
        </w:tc>
        <w:tc>
          <w:tcPr>
            <w:tcW w:w="0" w:type="auto"/>
            <w:hideMark/>
          </w:tcPr>
          <w:p w14:paraId="181DFBCB" w14:textId="77777777" w:rsidR="00E346FF" w:rsidRPr="00E779ED" w:rsidRDefault="00E346FF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Coordinated but separate risk appetite statements</w:t>
            </w:r>
          </w:p>
        </w:tc>
        <w:tc>
          <w:tcPr>
            <w:tcW w:w="0" w:type="auto"/>
            <w:hideMark/>
          </w:tcPr>
          <w:p w14:paraId="515163BA" w14:textId="77777777" w:rsidR="00E346FF" w:rsidRPr="00E779ED" w:rsidRDefault="00E346FF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Unified risk appetite framework applied consistently across domains</w:t>
            </w:r>
          </w:p>
        </w:tc>
        <w:tc>
          <w:tcPr>
            <w:tcW w:w="0" w:type="auto"/>
            <w:hideMark/>
          </w:tcPr>
          <w:p w14:paraId="3A6BBBA1" w14:textId="77777777" w:rsidR="00E346FF" w:rsidRPr="00E779ED" w:rsidRDefault="00E346FF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346FF" w:rsidRPr="00E779ED" w14:paraId="0CE6AFD6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A7BD68" w14:textId="77777777" w:rsidR="00E346FF" w:rsidRPr="00E779ED" w:rsidRDefault="00E346FF" w:rsidP="005C3B97">
            <w:pPr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Metrics and Reporting</w:t>
            </w:r>
          </w:p>
        </w:tc>
        <w:tc>
          <w:tcPr>
            <w:tcW w:w="0" w:type="auto"/>
            <w:hideMark/>
          </w:tcPr>
          <w:p w14:paraId="581A3A7D" w14:textId="77777777" w:rsidR="00E346FF" w:rsidRPr="00E779ED" w:rsidRDefault="00E346FF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Technical metrics for security; financial metrics for business risk</w:t>
            </w:r>
          </w:p>
        </w:tc>
        <w:tc>
          <w:tcPr>
            <w:tcW w:w="0" w:type="auto"/>
            <w:hideMark/>
          </w:tcPr>
          <w:p w14:paraId="0142A2FB" w14:textId="77777777" w:rsidR="00E346FF" w:rsidRPr="00E779ED" w:rsidRDefault="00E346FF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Some cross-domain reporting but separate primary metrics</w:t>
            </w:r>
          </w:p>
        </w:tc>
        <w:tc>
          <w:tcPr>
            <w:tcW w:w="0" w:type="auto"/>
            <w:hideMark/>
          </w:tcPr>
          <w:p w14:paraId="74733B4A" w14:textId="77777777" w:rsidR="00E346FF" w:rsidRPr="00E779ED" w:rsidRDefault="00E346FF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Integrated metrics linking security activities directly to business outcomes</w:t>
            </w:r>
          </w:p>
        </w:tc>
        <w:tc>
          <w:tcPr>
            <w:tcW w:w="0" w:type="auto"/>
            <w:hideMark/>
          </w:tcPr>
          <w:p w14:paraId="03B68A5C" w14:textId="77777777" w:rsidR="00E346FF" w:rsidRPr="00E779ED" w:rsidRDefault="00E346FF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E346FF" w:rsidRPr="00E779ED" w14:paraId="4D45EF7C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F45201" w14:textId="77777777" w:rsidR="00E346FF" w:rsidRPr="00E779ED" w:rsidRDefault="00E346FF" w:rsidP="005C3B97">
            <w:pPr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Ownership and Accountability</w:t>
            </w:r>
          </w:p>
        </w:tc>
        <w:tc>
          <w:tcPr>
            <w:tcW w:w="0" w:type="auto"/>
            <w:hideMark/>
          </w:tcPr>
          <w:p w14:paraId="1FFA98C0" w14:textId="77777777" w:rsidR="00E346FF" w:rsidRPr="00E779ED" w:rsidRDefault="00E346FF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Security owns "cyber" risk; business units own "business" risk</w:t>
            </w:r>
          </w:p>
        </w:tc>
        <w:tc>
          <w:tcPr>
            <w:tcW w:w="0" w:type="auto"/>
            <w:hideMark/>
          </w:tcPr>
          <w:p w14:paraId="6BC2D3EA" w14:textId="77777777" w:rsidR="00E346FF" w:rsidRPr="00E779ED" w:rsidRDefault="00E346FF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Shared responsibility but unclear boundaries</w:t>
            </w:r>
          </w:p>
        </w:tc>
        <w:tc>
          <w:tcPr>
            <w:tcW w:w="0" w:type="auto"/>
            <w:hideMark/>
          </w:tcPr>
          <w:p w14:paraId="2C48B3DE" w14:textId="77777777" w:rsidR="00E346FF" w:rsidRPr="00E779ED" w:rsidRDefault="00E346FF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779ED">
              <w:rPr>
                <w:rFonts w:ascii="Verdana" w:hAnsi="Verdana"/>
              </w:rPr>
              <w:t>Clear joint accountability with defined roles for both technical and business stakeholders</w:t>
            </w:r>
          </w:p>
        </w:tc>
        <w:tc>
          <w:tcPr>
            <w:tcW w:w="0" w:type="auto"/>
            <w:hideMark/>
          </w:tcPr>
          <w:p w14:paraId="7C2908DD" w14:textId="77777777" w:rsidR="00E346FF" w:rsidRPr="00E779ED" w:rsidRDefault="00E346FF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0F0142CA" w14:textId="24C9D980" w:rsidR="00E346FF" w:rsidRDefault="00E346FF" w:rsidP="00E346FF">
      <w:pPr>
        <w:pStyle w:val="Caption"/>
        <w:rPr>
          <w:rFonts w:ascii="Verdana" w:hAnsi="Verdana"/>
        </w:rPr>
      </w:pPr>
      <w:r w:rsidRPr="00E779ED">
        <w:rPr>
          <w:rFonts w:ascii="Verdana" w:hAnsi="Verdana"/>
        </w:rPr>
        <w:t xml:space="preserve">Table </w:t>
      </w:r>
      <w:r w:rsidRPr="00E779ED">
        <w:rPr>
          <w:rFonts w:ascii="Verdana" w:hAnsi="Verdana"/>
        </w:rPr>
        <w:fldChar w:fldCharType="begin"/>
      </w:r>
      <w:r w:rsidRPr="00E779ED">
        <w:rPr>
          <w:rFonts w:ascii="Verdana" w:hAnsi="Verdana"/>
        </w:rPr>
        <w:instrText xml:space="preserve"> SEQ Table \* ARABIC </w:instrText>
      </w:r>
      <w:r w:rsidRPr="00E779ED">
        <w:rPr>
          <w:rFonts w:ascii="Verdana" w:hAnsi="Verdana"/>
        </w:rPr>
        <w:fldChar w:fldCharType="separate"/>
      </w:r>
      <w:r w:rsidR="00611A20" w:rsidRPr="00E779ED">
        <w:rPr>
          <w:rFonts w:ascii="Verdana" w:hAnsi="Verdana"/>
          <w:noProof/>
        </w:rPr>
        <w:t>1</w:t>
      </w:r>
      <w:r w:rsidRPr="00E779ED">
        <w:rPr>
          <w:rFonts w:ascii="Verdana" w:hAnsi="Verdana"/>
          <w:noProof/>
        </w:rPr>
        <w:fldChar w:fldCharType="end"/>
      </w:r>
      <w:r w:rsidRPr="00E779ED">
        <w:rPr>
          <w:rFonts w:ascii="Verdana" w:hAnsi="Verdana"/>
        </w:rPr>
        <w:t>: Risk Integration Maturity Assessment</w:t>
      </w:r>
    </w:p>
    <w:p w14:paraId="1CD3D111" w14:textId="77777777" w:rsidR="00AA190F" w:rsidRDefault="00AA190F" w:rsidP="00AA190F">
      <w:pPr>
        <w:rPr>
          <w:rFonts w:ascii="Verdana" w:hAnsi="Verdana"/>
          <w:i/>
          <w:iCs/>
          <w:color w:val="0E2841" w:themeColor="text2"/>
          <w:sz w:val="18"/>
          <w:szCs w:val="18"/>
        </w:rPr>
      </w:pPr>
    </w:p>
    <w:p w14:paraId="26102F8F" w14:textId="55FD34F3" w:rsidR="00AA190F" w:rsidRPr="00AA190F" w:rsidRDefault="00AA190F" w:rsidP="00AA190F">
      <w:pPr>
        <w:tabs>
          <w:tab w:val="left" w:pos="3384"/>
        </w:tabs>
      </w:pPr>
      <w:r>
        <w:tab/>
      </w:r>
    </w:p>
    <w:p w14:paraId="3E6BF196" w14:textId="77777777" w:rsidR="00E346FF" w:rsidRPr="00E779ED" w:rsidRDefault="00E346FF" w:rsidP="00E346FF">
      <w:pPr>
        <w:pStyle w:val="Heading2"/>
        <w:rPr>
          <w:rFonts w:ascii="Verdana" w:hAnsi="Verdana"/>
        </w:rPr>
      </w:pPr>
      <w:r w:rsidRPr="00E779ED">
        <w:rPr>
          <w:rFonts w:ascii="Verdana" w:hAnsi="Verdana"/>
        </w:rPr>
        <w:lastRenderedPageBreak/>
        <w:t>Scoring Guide:</w:t>
      </w:r>
    </w:p>
    <w:p w14:paraId="4E1FD5CB" w14:textId="77777777" w:rsidR="00E346FF" w:rsidRPr="00E779ED" w:rsidRDefault="00E346FF" w:rsidP="00E346FF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779ED">
        <w:rPr>
          <w:rFonts w:ascii="Verdana" w:hAnsi="Verdana"/>
        </w:rPr>
        <w:t>8-16: Highly Siloed - Significant barriers between security and business risk</w:t>
      </w:r>
    </w:p>
    <w:p w14:paraId="36599F78" w14:textId="77777777" w:rsidR="00E346FF" w:rsidRPr="00E779ED" w:rsidRDefault="00E346FF" w:rsidP="00E346FF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779ED">
        <w:rPr>
          <w:rFonts w:ascii="Verdana" w:hAnsi="Verdana"/>
        </w:rPr>
        <w:t>17-24: Beginning Integration - Early efforts to connect domains but substantial gaps remain</w:t>
      </w:r>
    </w:p>
    <w:p w14:paraId="27478674" w14:textId="77777777" w:rsidR="00E346FF" w:rsidRPr="00E779ED" w:rsidRDefault="00E346FF" w:rsidP="00E346FF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779ED">
        <w:rPr>
          <w:rFonts w:ascii="Verdana" w:hAnsi="Verdana"/>
        </w:rPr>
        <w:t>25-32: Advancing Integration - Good foundation but opportunities for deeper coordination</w:t>
      </w:r>
    </w:p>
    <w:p w14:paraId="7DFDCB08" w14:textId="77777777" w:rsidR="00E346FF" w:rsidRPr="00E779ED" w:rsidRDefault="00E346FF" w:rsidP="00E346FF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779ED">
        <w:rPr>
          <w:rFonts w:ascii="Verdana" w:hAnsi="Verdana"/>
        </w:rPr>
        <w:t>33-40: Mature Integration - Highly effective risk integration with minor refinement opportunities</w:t>
      </w:r>
    </w:p>
    <w:p w14:paraId="0C62E945" w14:textId="77777777" w:rsidR="00E346FF" w:rsidRPr="00E779ED" w:rsidRDefault="00E346FF" w:rsidP="00E346FF">
      <w:pPr>
        <w:pStyle w:val="Heading2"/>
        <w:rPr>
          <w:rFonts w:ascii="Verdana" w:hAnsi="Verdana"/>
        </w:rPr>
      </w:pPr>
      <w:r w:rsidRPr="00E779ED">
        <w:rPr>
          <w:rFonts w:ascii="Verdana" w:hAnsi="Verdana"/>
        </w:rPr>
        <w:t>IMPLEMENTATION TIPS:</w:t>
      </w:r>
    </w:p>
    <w:p w14:paraId="499BBD2E" w14:textId="77777777" w:rsidR="00E346FF" w:rsidRPr="00E779ED" w:rsidRDefault="00E346FF" w:rsidP="00E346FF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779ED">
        <w:rPr>
          <w:rFonts w:ascii="Verdana" w:hAnsi="Verdana"/>
        </w:rPr>
        <w:t>Have both security and business leaders complete the assessment independently, then compare results</w:t>
      </w:r>
    </w:p>
    <w:p w14:paraId="76B561A1" w14:textId="77777777" w:rsidR="00E346FF" w:rsidRPr="00E779ED" w:rsidRDefault="00E346FF" w:rsidP="00E346FF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779ED">
        <w:rPr>
          <w:rFonts w:ascii="Verdana" w:hAnsi="Verdana"/>
        </w:rPr>
        <w:t>Focus improvement efforts on dimensions with the largest gaps between current and desired states</w:t>
      </w:r>
    </w:p>
    <w:p w14:paraId="276F481D" w14:textId="77777777" w:rsidR="00E346FF" w:rsidRPr="00E779ED" w:rsidRDefault="00E346FF" w:rsidP="00E346FF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E779ED">
        <w:rPr>
          <w:rFonts w:ascii="Verdana" w:hAnsi="Verdana"/>
        </w:rPr>
        <w:t>Use assessment results to build a roadmap for risk integration initiatives</w:t>
      </w:r>
    </w:p>
    <w:p w14:paraId="098261C9" w14:textId="77777777" w:rsidR="005A3C36" w:rsidRPr="00E779ED" w:rsidRDefault="005A3C36" w:rsidP="005A3C36">
      <w:pPr>
        <w:rPr>
          <w:rFonts w:ascii="Verdana" w:hAnsi="Verdana"/>
        </w:rPr>
      </w:pPr>
    </w:p>
    <w:sectPr w:rsidR="005A3C36" w:rsidRPr="00E779ED" w:rsidSect="004213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754C6" w14:textId="77777777" w:rsidR="00B40128" w:rsidRDefault="00B40128" w:rsidP="005A3C36">
      <w:pPr>
        <w:spacing w:after="0" w:line="240" w:lineRule="auto"/>
      </w:pPr>
      <w:r>
        <w:separator/>
      </w:r>
    </w:p>
  </w:endnote>
  <w:endnote w:type="continuationSeparator" w:id="0">
    <w:p w14:paraId="67EE4835" w14:textId="77777777" w:rsidR="00B40128" w:rsidRDefault="00B40128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24E87" w14:textId="77777777" w:rsidR="00240691" w:rsidRDefault="002406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4A8FC" w14:textId="2096EAE4" w:rsidR="005A3C36" w:rsidRPr="005A3C36" w:rsidRDefault="00240691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DC5A5" w14:textId="77777777" w:rsidR="00240691" w:rsidRDefault="002406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BC4B5" w14:textId="77777777" w:rsidR="00B40128" w:rsidRDefault="00B40128" w:rsidP="005A3C36">
      <w:pPr>
        <w:spacing w:after="0" w:line="240" w:lineRule="auto"/>
      </w:pPr>
      <w:r>
        <w:separator/>
      </w:r>
    </w:p>
  </w:footnote>
  <w:footnote w:type="continuationSeparator" w:id="0">
    <w:p w14:paraId="60E841BB" w14:textId="77777777" w:rsidR="00B40128" w:rsidRDefault="00B40128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7C69" w14:textId="77777777" w:rsidR="00240691" w:rsidRDefault="002406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7232" w14:textId="7EA912A2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E346FF">
      <w:rPr>
        <w:rFonts w:ascii="Verdana" w:hAnsi="Verdana"/>
      </w:rPr>
      <w:t>1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0D9AA" w14:textId="77777777" w:rsidR="00240691" w:rsidRDefault="002406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8F5"/>
    <w:multiLevelType w:val="hybridMultilevel"/>
    <w:tmpl w:val="46548E5C"/>
    <w:lvl w:ilvl="0" w:tplc="9DA07E1E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07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FF"/>
    <w:rsid w:val="00062BC0"/>
    <w:rsid w:val="000756A1"/>
    <w:rsid w:val="00234A89"/>
    <w:rsid w:val="00240691"/>
    <w:rsid w:val="002B75FE"/>
    <w:rsid w:val="004213A7"/>
    <w:rsid w:val="004B29F0"/>
    <w:rsid w:val="00543E0E"/>
    <w:rsid w:val="00555E22"/>
    <w:rsid w:val="005A3C36"/>
    <w:rsid w:val="00611A20"/>
    <w:rsid w:val="006A3A55"/>
    <w:rsid w:val="007572AC"/>
    <w:rsid w:val="007C7472"/>
    <w:rsid w:val="00A80303"/>
    <w:rsid w:val="00AA190F"/>
    <w:rsid w:val="00B40128"/>
    <w:rsid w:val="00B56A81"/>
    <w:rsid w:val="00C45E61"/>
    <w:rsid w:val="00E346FF"/>
    <w:rsid w:val="00E779ED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189761"/>
  <w15:chartTrackingRefBased/>
  <w15:docId w15:val="{B600C090-250E-46C9-97B7-8EA8AB34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6FF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E346F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E346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A190F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190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Resource.dotx</Template>
  <TotalTime>3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Chapter #: (NAME)</vt:lpstr>
      <vt:lpstr>Risk Integration Maturity Assessment</vt:lpstr>
      <vt:lpstr>    Scoring Guide:</vt:lpstr>
      <vt:lpstr>    IMPLEMENTATION TIPS:</vt:lpstr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1: Risk Integration Maturity Assessment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6</cp:revision>
  <dcterms:created xsi:type="dcterms:W3CDTF">2025-08-25T17:11:00Z</dcterms:created>
  <dcterms:modified xsi:type="dcterms:W3CDTF">2026-05-19T19:57:00Z</dcterms:modified>
</cp:coreProperties>
</file>