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76330" w14:textId="77777777" w:rsidR="00B42D27" w:rsidRPr="00B42D27" w:rsidRDefault="00B42D27" w:rsidP="00B42D27">
      <w:pPr>
        <w:pStyle w:val="Heading1"/>
        <w:rPr>
          <w:rFonts w:ascii="Verdana" w:hAnsi="Verdana"/>
        </w:rPr>
      </w:pPr>
      <w:r w:rsidRPr="00B42D27">
        <w:rPr>
          <w:rFonts w:ascii="Verdana" w:hAnsi="Verdana"/>
        </w:rPr>
        <w:t>Security-Business Integration Maturity Assessment</w:t>
      </w:r>
    </w:p>
    <w:p w14:paraId="6954EFD8" w14:textId="77777777" w:rsidR="00B42D27" w:rsidRPr="00B42D27" w:rsidRDefault="00B42D27" w:rsidP="00B42D2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42D27">
        <w:rPr>
          <w:rFonts w:ascii="Verdana" w:hAnsi="Verdana"/>
          <w:b/>
          <w:bCs/>
        </w:rPr>
        <w:t>PURPOSE:</w:t>
      </w:r>
      <w:r w:rsidRPr="00B42D27">
        <w:rPr>
          <w:rFonts w:ascii="Verdana" w:hAnsi="Verdana"/>
        </w:rPr>
        <w:t xml:space="preserve"> Provides a structured framework to evaluate your organization's current maturity level in integrating security risk management with business operations.</w:t>
      </w:r>
    </w:p>
    <w:p w14:paraId="7A820F47" w14:textId="77777777" w:rsidR="00B42D27" w:rsidRPr="00B42D27" w:rsidRDefault="00B42D27" w:rsidP="00B42D2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42D27">
        <w:rPr>
          <w:rFonts w:ascii="Verdana" w:hAnsi="Verdana"/>
          <w:b/>
          <w:bCs/>
        </w:rPr>
        <w:t xml:space="preserve">WHEN TO USE: </w:t>
      </w:r>
      <w:r w:rsidRPr="00B42D27">
        <w:rPr>
          <w:rFonts w:ascii="Verdana" w:hAnsi="Verdana"/>
        </w:rPr>
        <w:t>Before beginning integration initiatives to establish a baseline, when planning annual security strategies, or after significant organizational changes.</w:t>
      </w:r>
    </w:p>
    <w:p w14:paraId="6A910084" w14:textId="77777777" w:rsidR="00B42D27" w:rsidRPr="00B42D27" w:rsidRDefault="00B42D27" w:rsidP="00B42D27">
      <w:pPr>
        <w:rPr>
          <w:rFonts w:ascii="Verdana" w:hAnsi="Verdana"/>
          <w:b/>
          <w:bCs/>
        </w:rPr>
      </w:pPr>
      <w:r w:rsidRPr="00B42D27">
        <w:rPr>
          <w:rFonts w:ascii="Verdana" w:hAnsi="Verdana"/>
          <w:b/>
          <w:bCs/>
        </w:rPr>
        <w:t>Security-Business Integration Maturity Assessment</w:t>
      </w:r>
    </w:p>
    <w:p w14:paraId="57CDAD2E" w14:textId="77777777" w:rsidR="00B42D27" w:rsidRPr="00B42D27" w:rsidRDefault="00B42D27" w:rsidP="00B42D27">
      <w:pPr>
        <w:pStyle w:val="Heading2"/>
        <w:rPr>
          <w:rFonts w:ascii="Verdana" w:hAnsi="Verdana"/>
        </w:rPr>
      </w:pPr>
      <w:r w:rsidRPr="00B42D27">
        <w:rPr>
          <w:rFonts w:ascii="Verdana" w:hAnsi="Verdana"/>
        </w:rPr>
        <w:t>Instructions</w:t>
      </w:r>
    </w:p>
    <w:p w14:paraId="0879A6C4" w14:textId="77777777" w:rsidR="00B42D27" w:rsidRPr="00B42D27" w:rsidRDefault="00B42D27" w:rsidP="00B42D27">
      <w:pPr>
        <w:rPr>
          <w:rFonts w:ascii="Verdana" w:hAnsi="Verdana"/>
        </w:rPr>
      </w:pPr>
      <w:r w:rsidRPr="00B42D27">
        <w:rPr>
          <w:rFonts w:ascii="Verdana" w:hAnsi="Verdana"/>
        </w:rPr>
        <w:t xml:space="preserve">Rate each dimension on a scale of 1-4 where: </w:t>
      </w:r>
    </w:p>
    <w:p w14:paraId="3DFF53A4" w14:textId="77777777" w:rsidR="00B42D27" w:rsidRPr="00B42D27" w:rsidRDefault="00B42D27" w:rsidP="00B42D27">
      <w:pPr>
        <w:rPr>
          <w:rFonts w:ascii="Verdana" w:hAnsi="Verdana"/>
        </w:rPr>
      </w:pPr>
      <w:r w:rsidRPr="00B42D27">
        <w:rPr>
          <w:rFonts w:ascii="Verdana" w:hAnsi="Verdana"/>
        </w:rPr>
        <w:t xml:space="preserve">1 = Traditional (Siloed Operations) </w:t>
      </w:r>
    </w:p>
    <w:p w14:paraId="07389B64" w14:textId="77777777" w:rsidR="00B42D27" w:rsidRPr="00B42D27" w:rsidRDefault="00B42D27" w:rsidP="00B42D27">
      <w:pPr>
        <w:rPr>
          <w:rFonts w:ascii="Verdana" w:hAnsi="Verdana"/>
        </w:rPr>
      </w:pPr>
      <w:r w:rsidRPr="00B42D27">
        <w:rPr>
          <w:rFonts w:ascii="Verdana" w:hAnsi="Verdana"/>
        </w:rPr>
        <w:t xml:space="preserve">2 = Initial Integration </w:t>
      </w:r>
    </w:p>
    <w:p w14:paraId="21ADF285" w14:textId="77777777" w:rsidR="00B42D27" w:rsidRPr="00B42D27" w:rsidRDefault="00B42D27" w:rsidP="00B42D27">
      <w:pPr>
        <w:rPr>
          <w:rFonts w:ascii="Verdana" w:hAnsi="Verdana"/>
        </w:rPr>
      </w:pPr>
      <w:r w:rsidRPr="00B42D27">
        <w:rPr>
          <w:rFonts w:ascii="Verdana" w:hAnsi="Verdana"/>
        </w:rPr>
        <w:t xml:space="preserve">3 = Advanced Integration </w:t>
      </w:r>
    </w:p>
    <w:p w14:paraId="293D8BB8" w14:textId="77777777" w:rsidR="00B42D27" w:rsidRPr="00B42D27" w:rsidRDefault="00B42D27" w:rsidP="00B42D27">
      <w:pPr>
        <w:rPr>
          <w:rFonts w:ascii="Verdana" w:hAnsi="Verdana"/>
        </w:rPr>
      </w:pPr>
      <w:r w:rsidRPr="00B42D27">
        <w:rPr>
          <w:rFonts w:ascii="Verdana" w:hAnsi="Verdana"/>
        </w:rPr>
        <w:t>4 = Optimal Integration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569"/>
        <w:gridCol w:w="4659"/>
        <w:gridCol w:w="1132"/>
        <w:gridCol w:w="2430"/>
      </w:tblGrid>
      <w:tr w:rsidR="00B42D27" w:rsidRPr="00B42D27" w14:paraId="049610FB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5DC8C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Dimension</w:t>
            </w:r>
          </w:p>
        </w:tc>
        <w:tc>
          <w:tcPr>
            <w:tcW w:w="0" w:type="auto"/>
            <w:hideMark/>
          </w:tcPr>
          <w:p w14:paraId="7C8AC45E" w14:textId="77777777" w:rsidR="00B42D27" w:rsidRPr="00B42D27" w:rsidRDefault="00B42D2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Assessment Criteria</w:t>
            </w:r>
          </w:p>
        </w:tc>
        <w:tc>
          <w:tcPr>
            <w:tcW w:w="0" w:type="auto"/>
            <w:hideMark/>
          </w:tcPr>
          <w:p w14:paraId="729C3E5C" w14:textId="77777777" w:rsidR="00B42D27" w:rsidRPr="00B42D27" w:rsidRDefault="00B42D2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Score (1-4)</w:t>
            </w:r>
          </w:p>
        </w:tc>
        <w:tc>
          <w:tcPr>
            <w:tcW w:w="0" w:type="auto"/>
            <w:hideMark/>
          </w:tcPr>
          <w:p w14:paraId="6F114522" w14:textId="77777777" w:rsidR="00B42D27" w:rsidRPr="00B42D27" w:rsidRDefault="00B42D2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Evidence/Examples</w:t>
            </w:r>
          </w:p>
        </w:tc>
      </w:tr>
      <w:tr w:rsidR="00B42D27" w:rsidRPr="00B42D27" w14:paraId="7303D38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1628C1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Governance Structure</w:t>
            </w:r>
          </w:p>
        </w:tc>
        <w:tc>
          <w:tcPr>
            <w:tcW w:w="0" w:type="auto"/>
            <w:hideMark/>
          </w:tcPr>
          <w:p w14:paraId="49263719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A1CA2C1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79CBCCD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54ECECD6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D6875B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Board Engagement</w:t>
            </w:r>
          </w:p>
        </w:tc>
        <w:tc>
          <w:tcPr>
            <w:tcW w:w="0" w:type="auto"/>
            <w:hideMark/>
          </w:tcPr>
          <w:p w14:paraId="65139994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How actively involved is the board in security risk oversight?</w:t>
            </w:r>
          </w:p>
        </w:tc>
        <w:tc>
          <w:tcPr>
            <w:tcW w:w="0" w:type="auto"/>
            <w:hideMark/>
          </w:tcPr>
          <w:p w14:paraId="3BF7B5C8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9058C87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53A6D14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46A6C2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Executive Sponsorship</w:t>
            </w:r>
          </w:p>
        </w:tc>
        <w:tc>
          <w:tcPr>
            <w:tcW w:w="0" w:type="auto"/>
            <w:hideMark/>
          </w:tcPr>
          <w:p w14:paraId="51783239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Is there C-level sponsorship for security-business integration?</w:t>
            </w:r>
          </w:p>
        </w:tc>
        <w:tc>
          <w:tcPr>
            <w:tcW w:w="0" w:type="auto"/>
            <w:hideMark/>
          </w:tcPr>
          <w:p w14:paraId="0B2B9512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2027748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69D3D73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B7A5FA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Risk Committee Structure</w:t>
            </w:r>
          </w:p>
        </w:tc>
        <w:tc>
          <w:tcPr>
            <w:tcW w:w="0" w:type="auto"/>
            <w:hideMark/>
          </w:tcPr>
          <w:p w14:paraId="3D673419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Are cross-functional risk committees established and effective?</w:t>
            </w:r>
          </w:p>
        </w:tc>
        <w:tc>
          <w:tcPr>
            <w:tcW w:w="0" w:type="auto"/>
            <w:hideMark/>
          </w:tcPr>
          <w:p w14:paraId="3B46797A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9AF015C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2ABA9832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F3A2E1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Accountability Model</w:t>
            </w:r>
          </w:p>
        </w:tc>
        <w:tc>
          <w:tcPr>
            <w:tcW w:w="0" w:type="auto"/>
            <w:hideMark/>
          </w:tcPr>
          <w:p w14:paraId="63BC8C65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Are business leaders held accountable for security risks in their areas?</w:t>
            </w:r>
          </w:p>
        </w:tc>
        <w:tc>
          <w:tcPr>
            <w:tcW w:w="0" w:type="auto"/>
            <w:hideMark/>
          </w:tcPr>
          <w:p w14:paraId="5362E5DE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4195410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6EC424DF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6D7A59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Risk Management Approach</w:t>
            </w:r>
          </w:p>
        </w:tc>
        <w:tc>
          <w:tcPr>
            <w:tcW w:w="0" w:type="auto"/>
            <w:hideMark/>
          </w:tcPr>
          <w:p w14:paraId="29FB8D69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26CD042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37E4906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585A2D6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C779F7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Risk Assessment Process</w:t>
            </w:r>
          </w:p>
        </w:tc>
        <w:tc>
          <w:tcPr>
            <w:tcW w:w="0" w:type="auto"/>
            <w:hideMark/>
          </w:tcPr>
          <w:p w14:paraId="009EFBC9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How integrated are security risks within enterprise risk management?</w:t>
            </w:r>
          </w:p>
        </w:tc>
        <w:tc>
          <w:tcPr>
            <w:tcW w:w="0" w:type="auto"/>
            <w:hideMark/>
          </w:tcPr>
          <w:p w14:paraId="6E2DF5A7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4360B3E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6D24DAEF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8CA735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Risk Language</w:t>
            </w:r>
          </w:p>
        </w:tc>
        <w:tc>
          <w:tcPr>
            <w:tcW w:w="0" w:type="auto"/>
            <w:hideMark/>
          </w:tcPr>
          <w:p w14:paraId="2CF7471D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Is there a common risk terminology used by both security and business teams?</w:t>
            </w:r>
          </w:p>
        </w:tc>
        <w:tc>
          <w:tcPr>
            <w:tcW w:w="0" w:type="auto"/>
            <w:hideMark/>
          </w:tcPr>
          <w:p w14:paraId="256FF97B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3C2A445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4C21764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EFE3EF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Decision-Making Process</w:t>
            </w:r>
          </w:p>
        </w:tc>
        <w:tc>
          <w:tcPr>
            <w:tcW w:w="0" w:type="auto"/>
            <w:hideMark/>
          </w:tcPr>
          <w:p w14:paraId="43080AE3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How are security considerations incorporated into business decisions?</w:t>
            </w:r>
          </w:p>
        </w:tc>
        <w:tc>
          <w:tcPr>
            <w:tcW w:w="0" w:type="auto"/>
            <w:hideMark/>
          </w:tcPr>
          <w:p w14:paraId="26966FBF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449BE96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4E5B5DAB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C37050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Risk Appetite Definition</w:t>
            </w:r>
          </w:p>
        </w:tc>
        <w:tc>
          <w:tcPr>
            <w:tcW w:w="0" w:type="auto"/>
            <w:hideMark/>
          </w:tcPr>
          <w:p w14:paraId="76B883D4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Is there a clearly defined and understood risk appetite?</w:t>
            </w:r>
          </w:p>
        </w:tc>
        <w:tc>
          <w:tcPr>
            <w:tcW w:w="0" w:type="auto"/>
            <w:hideMark/>
          </w:tcPr>
          <w:p w14:paraId="1FA642E5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8610DCD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3D6D7625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254E0D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Operational Integration</w:t>
            </w:r>
          </w:p>
        </w:tc>
        <w:tc>
          <w:tcPr>
            <w:tcW w:w="0" w:type="auto"/>
            <w:hideMark/>
          </w:tcPr>
          <w:p w14:paraId="0C3015E7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BC4F5D8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E18186A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14364D3B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5A48E7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Security in Project Lifecycle</w:t>
            </w:r>
          </w:p>
        </w:tc>
        <w:tc>
          <w:tcPr>
            <w:tcW w:w="0" w:type="auto"/>
            <w:hideMark/>
          </w:tcPr>
          <w:p w14:paraId="41AB8921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How early and effectively is security incorporated into projects?</w:t>
            </w:r>
          </w:p>
        </w:tc>
        <w:tc>
          <w:tcPr>
            <w:tcW w:w="0" w:type="auto"/>
            <w:hideMark/>
          </w:tcPr>
          <w:p w14:paraId="6CB88E34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F344B36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271A6910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3D9898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Business Process Alignment</w:t>
            </w:r>
          </w:p>
        </w:tc>
        <w:tc>
          <w:tcPr>
            <w:tcW w:w="0" w:type="auto"/>
            <w:hideMark/>
          </w:tcPr>
          <w:p w14:paraId="1013AFA0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Are security controls aligned with business processes?</w:t>
            </w:r>
          </w:p>
        </w:tc>
        <w:tc>
          <w:tcPr>
            <w:tcW w:w="0" w:type="auto"/>
            <w:hideMark/>
          </w:tcPr>
          <w:p w14:paraId="5E454DA4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3C0661F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0A17F815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3D4E53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lastRenderedPageBreak/>
              <w:t>Incident Response</w:t>
            </w:r>
          </w:p>
        </w:tc>
        <w:tc>
          <w:tcPr>
            <w:tcW w:w="0" w:type="auto"/>
            <w:hideMark/>
          </w:tcPr>
          <w:p w14:paraId="39F292E1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How collaborative are security incidents handled across departments?</w:t>
            </w:r>
          </w:p>
        </w:tc>
        <w:tc>
          <w:tcPr>
            <w:tcW w:w="0" w:type="auto"/>
            <w:hideMark/>
          </w:tcPr>
          <w:p w14:paraId="29F99B94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7D24E6F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50725C4A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94E57D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Resource Allocation</w:t>
            </w:r>
          </w:p>
        </w:tc>
        <w:tc>
          <w:tcPr>
            <w:tcW w:w="0" w:type="auto"/>
            <w:hideMark/>
          </w:tcPr>
          <w:p w14:paraId="6F34DE86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Are security resources allocated based on business priorities?</w:t>
            </w:r>
          </w:p>
        </w:tc>
        <w:tc>
          <w:tcPr>
            <w:tcW w:w="0" w:type="auto"/>
            <w:hideMark/>
          </w:tcPr>
          <w:p w14:paraId="5A49AD05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77F79D9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5D7DC97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4B5048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Communication &amp; Culture</w:t>
            </w:r>
          </w:p>
        </w:tc>
        <w:tc>
          <w:tcPr>
            <w:tcW w:w="0" w:type="auto"/>
            <w:hideMark/>
          </w:tcPr>
          <w:p w14:paraId="3A53CC59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BD34547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315918E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1F24DC1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A745CE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Risk Reporting</w:t>
            </w:r>
          </w:p>
        </w:tc>
        <w:tc>
          <w:tcPr>
            <w:tcW w:w="0" w:type="auto"/>
            <w:hideMark/>
          </w:tcPr>
          <w:p w14:paraId="552DCCAC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How effectively is security risk communicated to business stakeholders?</w:t>
            </w:r>
          </w:p>
        </w:tc>
        <w:tc>
          <w:tcPr>
            <w:tcW w:w="0" w:type="auto"/>
            <w:hideMark/>
          </w:tcPr>
          <w:p w14:paraId="5911BE58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18C02A56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00A97A24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1C36B2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Security Awareness</w:t>
            </w:r>
          </w:p>
        </w:tc>
        <w:tc>
          <w:tcPr>
            <w:tcW w:w="0" w:type="auto"/>
            <w:hideMark/>
          </w:tcPr>
          <w:p w14:paraId="296B2A6D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Is security awareness tailored to business context and roles?</w:t>
            </w:r>
          </w:p>
        </w:tc>
        <w:tc>
          <w:tcPr>
            <w:tcW w:w="0" w:type="auto"/>
            <w:hideMark/>
          </w:tcPr>
          <w:p w14:paraId="0F475052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DE12086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5184F170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BF792B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Collaborative Culture</w:t>
            </w:r>
          </w:p>
        </w:tc>
        <w:tc>
          <w:tcPr>
            <w:tcW w:w="0" w:type="auto"/>
            <w:hideMark/>
          </w:tcPr>
          <w:p w14:paraId="4C98220A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Is there a culture of collaboration between security and business teams?</w:t>
            </w:r>
          </w:p>
        </w:tc>
        <w:tc>
          <w:tcPr>
            <w:tcW w:w="0" w:type="auto"/>
            <w:hideMark/>
          </w:tcPr>
          <w:p w14:paraId="035EC08C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50D7D18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73B4F6F6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2F28DB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Knowledge Sharing</w:t>
            </w:r>
          </w:p>
        </w:tc>
        <w:tc>
          <w:tcPr>
            <w:tcW w:w="0" w:type="auto"/>
            <w:hideMark/>
          </w:tcPr>
          <w:p w14:paraId="503F4B39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How effectively is security/business knowledge shared across teams?</w:t>
            </w:r>
          </w:p>
        </w:tc>
        <w:tc>
          <w:tcPr>
            <w:tcW w:w="0" w:type="auto"/>
            <w:hideMark/>
          </w:tcPr>
          <w:p w14:paraId="2735B8AD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2FA9F0F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0863B4D4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732685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Technology &amp; Tools</w:t>
            </w:r>
          </w:p>
        </w:tc>
        <w:tc>
          <w:tcPr>
            <w:tcW w:w="0" w:type="auto"/>
            <w:hideMark/>
          </w:tcPr>
          <w:p w14:paraId="5C996633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3F2A0FA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E164BB9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62AAB67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1CDA77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Integrated Systems</w:t>
            </w:r>
          </w:p>
        </w:tc>
        <w:tc>
          <w:tcPr>
            <w:tcW w:w="0" w:type="auto"/>
            <w:hideMark/>
          </w:tcPr>
          <w:p w14:paraId="11F602F1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Are security and business systems integrated for risk visibility?</w:t>
            </w:r>
          </w:p>
        </w:tc>
        <w:tc>
          <w:tcPr>
            <w:tcW w:w="0" w:type="auto"/>
            <w:hideMark/>
          </w:tcPr>
          <w:p w14:paraId="25DB86D5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1D06474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728FA18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27DF75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Automation</w:t>
            </w:r>
          </w:p>
        </w:tc>
        <w:tc>
          <w:tcPr>
            <w:tcW w:w="0" w:type="auto"/>
            <w:hideMark/>
          </w:tcPr>
          <w:p w14:paraId="76B4639E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To what extent are risk management processes automated?</w:t>
            </w:r>
          </w:p>
        </w:tc>
        <w:tc>
          <w:tcPr>
            <w:tcW w:w="0" w:type="auto"/>
            <w:hideMark/>
          </w:tcPr>
          <w:p w14:paraId="015E959F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249E938F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37B87705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348F73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Data Integration</w:t>
            </w:r>
          </w:p>
        </w:tc>
        <w:tc>
          <w:tcPr>
            <w:tcW w:w="0" w:type="auto"/>
            <w:hideMark/>
          </w:tcPr>
          <w:p w14:paraId="7A6FF116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Is security data contextualized with business data for decision-making?</w:t>
            </w:r>
          </w:p>
        </w:tc>
        <w:tc>
          <w:tcPr>
            <w:tcW w:w="0" w:type="auto"/>
            <w:hideMark/>
          </w:tcPr>
          <w:p w14:paraId="3380CFAE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FAC1542" w14:textId="77777777" w:rsidR="00B42D27" w:rsidRPr="00B42D27" w:rsidRDefault="00B42D2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B42D27" w:rsidRPr="00B42D27" w14:paraId="4203520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BABFFA" w14:textId="77777777" w:rsidR="00B42D27" w:rsidRPr="00B42D27" w:rsidRDefault="00B42D27" w:rsidP="005C3B97">
            <w:pPr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Reporting Capabilities</w:t>
            </w:r>
          </w:p>
        </w:tc>
        <w:tc>
          <w:tcPr>
            <w:tcW w:w="0" w:type="auto"/>
            <w:hideMark/>
          </w:tcPr>
          <w:p w14:paraId="2963A666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42D27">
              <w:rPr>
                <w:rFonts w:ascii="Verdana" w:hAnsi="Verdana"/>
              </w:rPr>
              <w:t>Do reporting tools present security in business-relevant terms?</w:t>
            </w:r>
          </w:p>
        </w:tc>
        <w:tc>
          <w:tcPr>
            <w:tcW w:w="0" w:type="auto"/>
            <w:hideMark/>
          </w:tcPr>
          <w:p w14:paraId="6EF362F4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A282AEC" w14:textId="77777777" w:rsidR="00B42D27" w:rsidRPr="00B42D27" w:rsidRDefault="00B42D2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146E125C" w14:textId="0DB40EF4" w:rsidR="00B42D27" w:rsidRPr="00B42D27" w:rsidRDefault="00B42D27" w:rsidP="00B42D27">
      <w:pPr>
        <w:pStyle w:val="Caption"/>
        <w:rPr>
          <w:rFonts w:ascii="Verdana" w:hAnsi="Verdana"/>
        </w:rPr>
      </w:pPr>
      <w:r w:rsidRPr="00B42D27">
        <w:rPr>
          <w:rFonts w:ascii="Verdana" w:hAnsi="Verdana"/>
        </w:rPr>
        <w:t xml:space="preserve">Table </w:t>
      </w:r>
      <w:r w:rsidRPr="00B42D27">
        <w:rPr>
          <w:rFonts w:ascii="Verdana" w:hAnsi="Verdana"/>
        </w:rPr>
        <w:fldChar w:fldCharType="begin"/>
      </w:r>
      <w:r w:rsidRPr="00B42D27">
        <w:rPr>
          <w:rFonts w:ascii="Verdana" w:hAnsi="Verdana"/>
        </w:rPr>
        <w:instrText xml:space="preserve"> SEQ Table \* ARABIC </w:instrText>
      </w:r>
      <w:r w:rsidRPr="00B42D27">
        <w:rPr>
          <w:rFonts w:ascii="Verdana" w:hAnsi="Verdana"/>
        </w:rPr>
        <w:fldChar w:fldCharType="separate"/>
      </w:r>
      <w:r w:rsidRPr="00B42D27">
        <w:rPr>
          <w:rFonts w:ascii="Verdana" w:hAnsi="Verdana"/>
          <w:noProof/>
        </w:rPr>
        <w:t>1</w:t>
      </w:r>
      <w:r w:rsidRPr="00B42D27">
        <w:rPr>
          <w:rFonts w:ascii="Verdana" w:hAnsi="Verdana"/>
          <w:noProof/>
        </w:rPr>
        <w:fldChar w:fldCharType="end"/>
      </w:r>
      <w:r w:rsidRPr="00B42D27">
        <w:rPr>
          <w:rFonts w:ascii="Verdana" w:hAnsi="Verdana"/>
        </w:rPr>
        <w:t>: Security-Business Integration Maturity Assessment</w:t>
      </w:r>
    </w:p>
    <w:p w14:paraId="5DC32205" w14:textId="77777777" w:rsidR="00B42D27" w:rsidRPr="00B42D27" w:rsidRDefault="00B42D27" w:rsidP="00B42D27">
      <w:pPr>
        <w:pStyle w:val="Heading2"/>
        <w:rPr>
          <w:rFonts w:ascii="Verdana" w:hAnsi="Verdana"/>
        </w:rPr>
      </w:pPr>
      <w:r w:rsidRPr="00B42D27">
        <w:rPr>
          <w:rFonts w:ascii="Verdana" w:hAnsi="Verdana"/>
        </w:rPr>
        <w:t>Scoring Guide</w:t>
      </w:r>
    </w:p>
    <w:p w14:paraId="21FD086A" w14:textId="77777777" w:rsidR="00B42D27" w:rsidRPr="00B42D27" w:rsidRDefault="00B42D27" w:rsidP="00B42D2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42D27">
        <w:rPr>
          <w:rFonts w:ascii="Verdana" w:hAnsi="Verdana"/>
        </w:rPr>
        <w:t>Traditional (56-71): Security functions are largely siloed from business operations</w:t>
      </w:r>
    </w:p>
    <w:p w14:paraId="033881E2" w14:textId="77777777" w:rsidR="00B42D27" w:rsidRPr="00B42D27" w:rsidRDefault="00B42D27" w:rsidP="00B42D2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42D27">
        <w:rPr>
          <w:rFonts w:ascii="Verdana" w:hAnsi="Verdana"/>
        </w:rPr>
        <w:t>Initial (72-88): Basic integration has begun but remains inconsistent</w:t>
      </w:r>
    </w:p>
    <w:p w14:paraId="29DB777F" w14:textId="77777777" w:rsidR="00B42D27" w:rsidRPr="00B42D27" w:rsidRDefault="00B42D27" w:rsidP="00B42D2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42D27">
        <w:rPr>
          <w:rFonts w:ascii="Verdana" w:hAnsi="Verdana"/>
        </w:rPr>
        <w:t>Advanced (89-104): Well-defined integration processes consistently applied</w:t>
      </w:r>
    </w:p>
    <w:p w14:paraId="6384060C" w14:textId="77777777" w:rsidR="00B42D27" w:rsidRPr="00B42D27" w:rsidRDefault="00B42D27" w:rsidP="00B42D2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42D27">
        <w:rPr>
          <w:rFonts w:ascii="Verdana" w:hAnsi="Verdana"/>
        </w:rPr>
        <w:t>Optimal (105-120): Full integration with continuous improvement mechanisms</w:t>
      </w:r>
    </w:p>
    <w:p w14:paraId="5AE8F311" w14:textId="77777777" w:rsidR="00B42D27" w:rsidRPr="00B42D27" w:rsidRDefault="00B42D27" w:rsidP="00B42D27">
      <w:pPr>
        <w:rPr>
          <w:rFonts w:ascii="Verdana" w:hAnsi="Verdana"/>
        </w:rPr>
      </w:pPr>
    </w:p>
    <w:p w14:paraId="35C1C4EB" w14:textId="77777777" w:rsidR="00B42D27" w:rsidRPr="00B42D27" w:rsidRDefault="00B42D27" w:rsidP="00B42D27">
      <w:pPr>
        <w:pStyle w:val="Heading2"/>
        <w:rPr>
          <w:rFonts w:ascii="Verdana" w:hAnsi="Verdana"/>
        </w:rPr>
      </w:pPr>
      <w:r w:rsidRPr="00B42D27">
        <w:rPr>
          <w:rFonts w:ascii="Verdana" w:hAnsi="Verdana"/>
        </w:rPr>
        <w:t>Action Planning</w:t>
      </w:r>
    </w:p>
    <w:p w14:paraId="65AC3ADE" w14:textId="77777777" w:rsidR="00B42D27" w:rsidRPr="00B42D27" w:rsidRDefault="00B42D27" w:rsidP="00B42D27">
      <w:pPr>
        <w:rPr>
          <w:rFonts w:ascii="Verdana" w:hAnsi="Verdana"/>
        </w:rPr>
      </w:pPr>
      <w:r w:rsidRPr="00B42D27">
        <w:rPr>
          <w:rFonts w:ascii="Verdana" w:hAnsi="Verdana"/>
        </w:rPr>
        <w:t>Based on your assessment, identify:</w:t>
      </w:r>
    </w:p>
    <w:p w14:paraId="1B5B4C23" w14:textId="77777777" w:rsidR="00B42D27" w:rsidRPr="00B42D27" w:rsidRDefault="00B42D27" w:rsidP="00B42D27">
      <w:pPr>
        <w:pStyle w:val="Heading3"/>
        <w:rPr>
          <w:rFonts w:ascii="Verdana" w:hAnsi="Verdana"/>
        </w:rPr>
      </w:pPr>
      <w:r w:rsidRPr="00B42D27">
        <w:rPr>
          <w:rFonts w:ascii="Verdana" w:hAnsi="Verdana"/>
        </w:rPr>
        <w:t>Top three strengths to leverage:</w:t>
      </w:r>
    </w:p>
    <w:p w14:paraId="1884AD5D" w14:textId="77777777" w:rsidR="00B42D27" w:rsidRPr="00B42D27" w:rsidRDefault="00B42D27" w:rsidP="00B42D27">
      <w:pPr>
        <w:rPr>
          <w:rFonts w:ascii="Verdana" w:hAnsi="Verdana"/>
        </w:rPr>
      </w:pPr>
    </w:p>
    <w:p w14:paraId="34FB89AD" w14:textId="77777777" w:rsidR="00B42D27" w:rsidRPr="00B42D27" w:rsidRDefault="00B42D27" w:rsidP="00B42D27">
      <w:pPr>
        <w:rPr>
          <w:rFonts w:ascii="Verdana" w:hAnsi="Verdana"/>
        </w:rPr>
      </w:pPr>
    </w:p>
    <w:p w14:paraId="30DD70DD" w14:textId="77777777" w:rsidR="00B42D27" w:rsidRPr="00B42D27" w:rsidRDefault="00B42D27" w:rsidP="00B42D27">
      <w:pPr>
        <w:pStyle w:val="Heading3"/>
        <w:rPr>
          <w:rFonts w:ascii="Verdana" w:hAnsi="Verdana"/>
        </w:rPr>
      </w:pPr>
      <w:r w:rsidRPr="00B42D27">
        <w:rPr>
          <w:rFonts w:ascii="Verdana" w:hAnsi="Verdana"/>
        </w:rPr>
        <w:t>Top three improvement areas:</w:t>
      </w:r>
    </w:p>
    <w:p w14:paraId="3A3F9EE9" w14:textId="77777777" w:rsidR="00B42D27" w:rsidRPr="00B42D27" w:rsidRDefault="00B42D27" w:rsidP="00B42D27">
      <w:pPr>
        <w:rPr>
          <w:rFonts w:ascii="Verdana" w:hAnsi="Verdana"/>
        </w:rPr>
      </w:pPr>
    </w:p>
    <w:p w14:paraId="35C01534" w14:textId="77777777" w:rsidR="00B42D27" w:rsidRPr="00B42D27" w:rsidRDefault="00B42D27" w:rsidP="00B42D27">
      <w:pPr>
        <w:rPr>
          <w:rFonts w:ascii="Verdana" w:hAnsi="Verdana"/>
        </w:rPr>
      </w:pPr>
    </w:p>
    <w:p w14:paraId="24FA4D73" w14:textId="77777777" w:rsidR="00B42D27" w:rsidRPr="00B42D27" w:rsidRDefault="00B42D27" w:rsidP="00B42D27">
      <w:pPr>
        <w:pStyle w:val="Heading3"/>
        <w:rPr>
          <w:rFonts w:ascii="Verdana" w:hAnsi="Verdana"/>
        </w:rPr>
      </w:pPr>
      <w:r w:rsidRPr="00B42D27">
        <w:rPr>
          <w:rFonts w:ascii="Verdana" w:hAnsi="Verdana"/>
        </w:rPr>
        <w:t>Recommended next steps based on maturity level:</w:t>
      </w:r>
    </w:p>
    <w:p w14:paraId="3179FB49" w14:textId="77777777" w:rsidR="00B42D27" w:rsidRPr="00B42D27" w:rsidRDefault="00B42D27" w:rsidP="00B42D27">
      <w:pPr>
        <w:rPr>
          <w:rFonts w:ascii="Verdana" w:hAnsi="Verdana"/>
        </w:rPr>
      </w:pPr>
    </w:p>
    <w:p w14:paraId="2FA9F670" w14:textId="77777777" w:rsidR="00B42D27" w:rsidRPr="00B42D27" w:rsidRDefault="00B42D27" w:rsidP="00B42D27">
      <w:pPr>
        <w:rPr>
          <w:rFonts w:ascii="Verdana" w:hAnsi="Verdana"/>
        </w:rPr>
      </w:pPr>
    </w:p>
    <w:p w14:paraId="265FF524" w14:textId="77777777" w:rsidR="00B42D27" w:rsidRPr="00B42D27" w:rsidRDefault="00B42D27" w:rsidP="00B42D27">
      <w:pPr>
        <w:pStyle w:val="Heading2"/>
        <w:rPr>
          <w:rFonts w:ascii="Verdana" w:hAnsi="Verdana"/>
        </w:rPr>
      </w:pPr>
      <w:r w:rsidRPr="00B42D27">
        <w:rPr>
          <w:rFonts w:ascii="Verdana" w:hAnsi="Verdana"/>
        </w:rPr>
        <w:t>IMPLEMENTATION TIPS:</w:t>
      </w:r>
    </w:p>
    <w:p w14:paraId="4A4C205F" w14:textId="77777777" w:rsidR="00B42D27" w:rsidRPr="00B42D27" w:rsidRDefault="00B42D27" w:rsidP="00B42D2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42D27">
        <w:rPr>
          <w:rFonts w:ascii="Verdana" w:hAnsi="Verdana"/>
        </w:rPr>
        <w:t>Have multiple stakeholders from both security and business units complete the assessment independently, then compare perspectives</w:t>
      </w:r>
    </w:p>
    <w:p w14:paraId="6582C27D" w14:textId="77777777" w:rsidR="00B42D27" w:rsidRPr="00B42D27" w:rsidRDefault="00B42D27" w:rsidP="00B42D2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42D27">
        <w:rPr>
          <w:rFonts w:ascii="Verdana" w:hAnsi="Verdana"/>
        </w:rPr>
        <w:t>Support ratings with specific examples rather than subjective opinions</w:t>
      </w:r>
    </w:p>
    <w:p w14:paraId="646C176A" w14:textId="77777777" w:rsidR="00B42D27" w:rsidRPr="00B42D27" w:rsidRDefault="00B42D27" w:rsidP="00B42D2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B42D27">
        <w:rPr>
          <w:rFonts w:ascii="Verdana" w:hAnsi="Verdana"/>
        </w:rPr>
        <w:t>Focus on improving dimensions with the largest gaps first rather than trying to advance everything simultaneously</w:t>
      </w:r>
    </w:p>
    <w:p w14:paraId="0F5421BE" w14:textId="77777777" w:rsidR="005A3C36" w:rsidRPr="00B42D27" w:rsidRDefault="005A3C36" w:rsidP="00B42D27">
      <w:pPr>
        <w:rPr>
          <w:rFonts w:ascii="Verdana" w:hAnsi="Verdana"/>
        </w:rPr>
      </w:pPr>
    </w:p>
    <w:sectPr w:rsidR="005A3C36" w:rsidRPr="00B42D27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37ECF" w14:textId="77777777" w:rsidR="00C52F3E" w:rsidRDefault="00C52F3E" w:rsidP="005A3C36">
      <w:pPr>
        <w:spacing w:after="0" w:line="240" w:lineRule="auto"/>
      </w:pPr>
      <w:r>
        <w:separator/>
      </w:r>
    </w:p>
  </w:endnote>
  <w:endnote w:type="continuationSeparator" w:id="0">
    <w:p w14:paraId="67351DFA" w14:textId="77777777" w:rsidR="00C52F3E" w:rsidRDefault="00C52F3E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C4D1B" w14:textId="77777777" w:rsidR="007161AB" w:rsidRDefault="007161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7DB0B" w14:textId="57A050D1" w:rsidR="005A3C36" w:rsidRPr="005A3C36" w:rsidRDefault="007161AB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AB00" w14:textId="77777777" w:rsidR="007161AB" w:rsidRDefault="0071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5DF9B" w14:textId="77777777" w:rsidR="00C52F3E" w:rsidRDefault="00C52F3E" w:rsidP="005A3C36">
      <w:pPr>
        <w:spacing w:after="0" w:line="240" w:lineRule="auto"/>
      </w:pPr>
      <w:r>
        <w:separator/>
      </w:r>
    </w:p>
  </w:footnote>
  <w:footnote w:type="continuationSeparator" w:id="0">
    <w:p w14:paraId="22E98641" w14:textId="77777777" w:rsidR="00C52F3E" w:rsidRDefault="00C52F3E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1848" w14:textId="77777777" w:rsidR="007161AB" w:rsidRDefault="00716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E4DA" w14:textId="3F3F352D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B42D27">
      <w:rPr>
        <w:rFonts w:ascii="Verdana" w:hAnsi="Verdana"/>
      </w:rPr>
      <w:t>10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EB3B" w14:textId="77777777" w:rsidR="007161AB" w:rsidRDefault="00716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57645"/>
    <w:multiLevelType w:val="hybridMultilevel"/>
    <w:tmpl w:val="6BF4D9FE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60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27"/>
    <w:rsid w:val="0000234F"/>
    <w:rsid w:val="000756A1"/>
    <w:rsid w:val="002A6616"/>
    <w:rsid w:val="002B75FE"/>
    <w:rsid w:val="004B29F0"/>
    <w:rsid w:val="00543E0E"/>
    <w:rsid w:val="005A3C36"/>
    <w:rsid w:val="007161AB"/>
    <w:rsid w:val="007C7472"/>
    <w:rsid w:val="0097167D"/>
    <w:rsid w:val="00A80303"/>
    <w:rsid w:val="00B42D27"/>
    <w:rsid w:val="00B56A81"/>
    <w:rsid w:val="00C52F3E"/>
    <w:rsid w:val="00E3619E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2DE4B"/>
  <w15:chartTrackingRefBased/>
  <w15:docId w15:val="{944BEAE8-69E0-48BA-B73D-D93B9DB4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D27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B42D2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B42D27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161A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61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Chapter #: (NAME)</vt:lpstr>
      <vt:lpstr>Security-Business Integration Maturity Assessment</vt:lpstr>
      <vt:lpstr>    Instructions</vt:lpstr>
      <vt:lpstr>    Scoring Guide</vt:lpstr>
      <vt:lpstr>    Action Planning</vt:lpstr>
      <vt:lpstr>        Top three strengths to leverage:</vt:lpstr>
      <vt:lpstr>        Top three improvement areas:</vt:lpstr>
      <vt:lpstr>        Recommended next steps based on maturity level:</vt:lpstr>
      <vt:lpstr>    IMPLEMENTATION TIPS:</vt:lpstr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10: Security-Business Integration Maturity Assessment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2025-08-25T18:44:00Z</dcterms:created>
  <dcterms:modified xsi:type="dcterms:W3CDTF">2026-05-19T20:05:00Z</dcterms:modified>
</cp:coreProperties>
</file>