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8E43" w14:textId="77777777" w:rsidR="00187AEE" w:rsidRPr="00187AEE" w:rsidRDefault="00187AEE" w:rsidP="00187AEE">
      <w:pPr>
        <w:pStyle w:val="Heading1"/>
        <w:rPr>
          <w:rFonts w:ascii="Verdana" w:hAnsi="Verdana"/>
        </w:rPr>
      </w:pPr>
      <w:r w:rsidRPr="00187AEE">
        <w:rPr>
          <w:rFonts w:ascii="Verdana" w:hAnsi="Verdana"/>
        </w:rPr>
        <w:t>Security-ERM Integration Maturity Assessment Framework</w:t>
      </w:r>
    </w:p>
    <w:p w14:paraId="6B6C620D" w14:textId="77777777" w:rsidR="00187AEE" w:rsidRPr="00187AEE" w:rsidRDefault="00187AEE" w:rsidP="00187AE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7AEE">
        <w:rPr>
          <w:rFonts w:ascii="Verdana" w:hAnsi="Verdana"/>
          <w:b/>
          <w:bCs/>
        </w:rPr>
        <w:t xml:space="preserve">PURPOSE: </w:t>
      </w:r>
      <w:r w:rsidRPr="00187AEE">
        <w:rPr>
          <w:rFonts w:ascii="Verdana" w:hAnsi="Verdana"/>
        </w:rPr>
        <w:t>Helps organizations assess their current maturity level in integrating cybersecurity risks into enterprise risk management processes and identify specific improvement opportunities.</w:t>
      </w:r>
    </w:p>
    <w:p w14:paraId="37FA7207" w14:textId="77777777" w:rsidR="00187AEE" w:rsidRPr="00187AEE" w:rsidRDefault="00187AEE" w:rsidP="00187AE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7AEE">
        <w:rPr>
          <w:rFonts w:ascii="Verdana" w:hAnsi="Verdana"/>
          <w:b/>
          <w:bCs/>
        </w:rPr>
        <w:t xml:space="preserve">WHEN TO USE: </w:t>
      </w:r>
      <w:r w:rsidRPr="00187AEE">
        <w:rPr>
          <w:rFonts w:ascii="Verdana" w:hAnsi="Verdana"/>
        </w:rPr>
        <w:t>When evaluating the effectiveness of your security risk management program, planning security risk management improvements, or preparing for board discussions about security governance.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245"/>
        <w:gridCol w:w="1682"/>
        <w:gridCol w:w="2063"/>
        <w:gridCol w:w="2055"/>
        <w:gridCol w:w="1760"/>
        <w:gridCol w:w="985"/>
      </w:tblGrid>
      <w:tr w:rsidR="00187AEE" w:rsidRPr="00187AEE" w14:paraId="6B7F607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DF54033" w14:textId="77777777" w:rsidR="00187AEE" w:rsidRPr="00187AEE" w:rsidRDefault="00187AEE" w:rsidP="005C3B97">
            <w:pPr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Dimension</w:t>
            </w:r>
          </w:p>
        </w:tc>
        <w:tc>
          <w:tcPr>
            <w:tcW w:w="1265" w:type="dxa"/>
            <w:hideMark/>
          </w:tcPr>
          <w:p w14:paraId="64ACAD35" w14:textId="77777777" w:rsidR="00187AEE" w:rsidRPr="00187AEE" w:rsidRDefault="00187AE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Level 1: Siloed</w:t>
            </w:r>
          </w:p>
        </w:tc>
        <w:tc>
          <w:tcPr>
            <w:tcW w:w="0" w:type="auto"/>
            <w:hideMark/>
          </w:tcPr>
          <w:p w14:paraId="4F7DAB6F" w14:textId="77777777" w:rsidR="00187AEE" w:rsidRPr="00187AEE" w:rsidRDefault="00187AE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Level 2: Coordinated</w:t>
            </w:r>
          </w:p>
        </w:tc>
        <w:tc>
          <w:tcPr>
            <w:tcW w:w="0" w:type="auto"/>
            <w:hideMark/>
          </w:tcPr>
          <w:p w14:paraId="2326B1B8" w14:textId="77777777" w:rsidR="00187AEE" w:rsidRPr="00187AEE" w:rsidRDefault="00187AE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Level 3: Integrated</w:t>
            </w:r>
          </w:p>
        </w:tc>
        <w:tc>
          <w:tcPr>
            <w:tcW w:w="0" w:type="auto"/>
            <w:hideMark/>
          </w:tcPr>
          <w:p w14:paraId="1E7CA501" w14:textId="77777777" w:rsidR="00187AEE" w:rsidRPr="00187AEE" w:rsidRDefault="00187AE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Level 4: Strategic</w:t>
            </w:r>
          </w:p>
        </w:tc>
        <w:tc>
          <w:tcPr>
            <w:tcW w:w="0" w:type="auto"/>
            <w:hideMark/>
          </w:tcPr>
          <w:p w14:paraId="2ED2E3F1" w14:textId="77777777" w:rsidR="00187AEE" w:rsidRPr="00187AEE" w:rsidRDefault="00187AEE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Your Rating</w:t>
            </w:r>
          </w:p>
        </w:tc>
      </w:tr>
      <w:tr w:rsidR="00187AEE" w:rsidRPr="00187AEE" w14:paraId="6982705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0A41C0F" w14:textId="77777777" w:rsidR="00187AEE" w:rsidRPr="00187AEE" w:rsidRDefault="00187AEE" w:rsidP="005C3B97">
            <w:pPr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Risk Documentation</w:t>
            </w:r>
          </w:p>
        </w:tc>
        <w:tc>
          <w:tcPr>
            <w:tcW w:w="1265" w:type="dxa"/>
            <w:hideMark/>
          </w:tcPr>
          <w:p w14:paraId="02D51DBB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risks documented separately from enterprise risks</w:t>
            </w:r>
          </w:p>
        </w:tc>
        <w:tc>
          <w:tcPr>
            <w:tcW w:w="0" w:type="auto"/>
            <w:hideMark/>
          </w:tcPr>
          <w:p w14:paraId="44E23DD7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risks use similar formats to enterprise risks</w:t>
            </w:r>
          </w:p>
        </w:tc>
        <w:tc>
          <w:tcPr>
            <w:tcW w:w="0" w:type="auto"/>
            <w:hideMark/>
          </w:tcPr>
          <w:p w14:paraId="366B2FB5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risks appear in enterprise risk register</w:t>
            </w:r>
          </w:p>
        </w:tc>
        <w:tc>
          <w:tcPr>
            <w:tcW w:w="0" w:type="auto"/>
            <w:hideMark/>
          </w:tcPr>
          <w:p w14:paraId="491211FD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risks considered in strategic planning</w:t>
            </w:r>
          </w:p>
        </w:tc>
        <w:tc>
          <w:tcPr>
            <w:tcW w:w="0" w:type="auto"/>
            <w:hideMark/>
          </w:tcPr>
          <w:p w14:paraId="5548EB94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□</w:t>
            </w:r>
          </w:p>
        </w:tc>
      </w:tr>
      <w:tr w:rsidR="00187AEE" w:rsidRPr="00187AEE" w14:paraId="7DC23D1F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4C1CC92B" w14:textId="77777777" w:rsidR="00187AEE" w:rsidRPr="00187AEE" w:rsidRDefault="00187AEE" w:rsidP="005C3B97">
            <w:pPr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Risk Assessment</w:t>
            </w:r>
          </w:p>
        </w:tc>
        <w:tc>
          <w:tcPr>
            <w:tcW w:w="1265" w:type="dxa"/>
            <w:hideMark/>
          </w:tcPr>
          <w:p w14:paraId="075E515D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Different methodologies for assessing security vs. other risks</w:t>
            </w:r>
          </w:p>
        </w:tc>
        <w:tc>
          <w:tcPr>
            <w:tcW w:w="0" w:type="auto"/>
            <w:hideMark/>
          </w:tcPr>
          <w:p w14:paraId="48640EFD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Similar methodologies with some inconsistencies</w:t>
            </w:r>
          </w:p>
        </w:tc>
        <w:tc>
          <w:tcPr>
            <w:tcW w:w="0" w:type="auto"/>
            <w:hideMark/>
          </w:tcPr>
          <w:p w14:paraId="419FCE36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Consistent methodology across all risk domains</w:t>
            </w:r>
          </w:p>
        </w:tc>
        <w:tc>
          <w:tcPr>
            <w:tcW w:w="0" w:type="auto"/>
            <w:hideMark/>
          </w:tcPr>
          <w:p w14:paraId="2AB6C057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Advanced quantitative methods applied to all risks</w:t>
            </w:r>
          </w:p>
        </w:tc>
        <w:tc>
          <w:tcPr>
            <w:tcW w:w="0" w:type="auto"/>
            <w:hideMark/>
          </w:tcPr>
          <w:p w14:paraId="3FFD9176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□</w:t>
            </w:r>
          </w:p>
        </w:tc>
      </w:tr>
      <w:tr w:rsidR="00187AEE" w:rsidRPr="00187AEE" w14:paraId="406D524A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1FAFC5A0" w14:textId="77777777" w:rsidR="00187AEE" w:rsidRPr="00187AEE" w:rsidRDefault="00187AEE" w:rsidP="005C3B97">
            <w:pPr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Governance Structure</w:t>
            </w:r>
          </w:p>
        </w:tc>
        <w:tc>
          <w:tcPr>
            <w:tcW w:w="1265" w:type="dxa"/>
            <w:hideMark/>
          </w:tcPr>
          <w:p w14:paraId="353D4C3D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governance separate from enterprise risk governance</w:t>
            </w:r>
          </w:p>
        </w:tc>
        <w:tc>
          <w:tcPr>
            <w:tcW w:w="0" w:type="auto"/>
            <w:hideMark/>
          </w:tcPr>
          <w:p w14:paraId="0BA29415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Periodic coordination between security and ERM functions</w:t>
            </w:r>
          </w:p>
        </w:tc>
        <w:tc>
          <w:tcPr>
            <w:tcW w:w="0" w:type="auto"/>
            <w:hideMark/>
          </w:tcPr>
          <w:p w14:paraId="7717ADE3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Integrated governance structure with security representation</w:t>
            </w:r>
          </w:p>
        </w:tc>
        <w:tc>
          <w:tcPr>
            <w:tcW w:w="0" w:type="auto"/>
            <w:hideMark/>
          </w:tcPr>
          <w:p w14:paraId="6276C982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fully embedded in enterprise risk governance</w:t>
            </w:r>
          </w:p>
        </w:tc>
        <w:tc>
          <w:tcPr>
            <w:tcW w:w="0" w:type="auto"/>
            <w:hideMark/>
          </w:tcPr>
          <w:p w14:paraId="021D7DBC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□</w:t>
            </w:r>
          </w:p>
        </w:tc>
      </w:tr>
      <w:tr w:rsidR="00187AEE" w:rsidRPr="00187AEE" w14:paraId="0B5DE592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3CFAB52E" w14:textId="77777777" w:rsidR="00187AEE" w:rsidRPr="00187AEE" w:rsidRDefault="00187AEE" w:rsidP="005C3B97">
            <w:pPr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Risk Ownership</w:t>
            </w:r>
          </w:p>
        </w:tc>
        <w:tc>
          <w:tcPr>
            <w:tcW w:w="1265" w:type="dxa"/>
            <w:hideMark/>
          </w:tcPr>
          <w:p w14:paraId="79057D73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team owns all security risks</w:t>
            </w:r>
          </w:p>
        </w:tc>
        <w:tc>
          <w:tcPr>
            <w:tcW w:w="0" w:type="auto"/>
            <w:hideMark/>
          </w:tcPr>
          <w:p w14:paraId="62AA9984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and business units share ownership with unclear boundaries</w:t>
            </w:r>
          </w:p>
        </w:tc>
        <w:tc>
          <w:tcPr>
            <w:tcW w:w="0" w:type="auto"/>
            <w:hideMark/>
          </w:tcPr>
          <w:p w14:paraId="45D036CB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Clear ownership model with defined accountabilities</w:t>
            </w:r>
          </w:p>
        </w:tc>
        <w:tc>
          <w:tcPr>
            <w:tcW w:w="0" w:type="auto"/>
            <w:hideMark/>
          </w:tcPr>
          <w:p w14:paraId="5FD2DB6B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Business-aligned risk ownership with executive-level visibility</w:t>
            </w:r>
          </w:p>
        </w:tc>
        <w:tc>
          <w:tcPr>
            <w:tcW w:w="0" w:type="auto"/>
            <w:hideMark/>
          </w:tcPr>
          <w:p w14:paraId="37387143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□</w:t>
            </w:r>
          </w:p>
        </w:tc>
      </w:tr>
      <w:tr w:rsidR="00187AEE" w:rsidRPr="00187AEE" w14:paraId="48947519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2C3CB76E" w14:textId="77777777" w:rsidR="00187AEE" w:rsidRPr="00187AEE" w:rsidRDefault="00187AEE" w:rsidP="005C3B97">
            <w:pPr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Risk Reporting</w:t>
            </w:r>
          </w:p>
        </w:tc>
        <w:tc>
          <w:tcPr>
            <w:tcW w:w="1265" w:type="dxa"/>
            <w:hideMark/>
          </w:tcPr>
          <w:p w14:paraId="3055C2F1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Technical security metrics isolated from business reporting</w:t>
            </w:r>
          </w:p>
        </w:tc>
        <w:tc>
          <w:tcPr>
            <w:tcW w:w="0" w:type="auto"/>
            <w:hideMark/>
          </w:tcPr>
          <w:p w14:paraId="65245211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Some security metrics translated into business terms</w:t>
            </w:r>
          </w:p>
        </w:tc>
        <w:tc>
          <w:tcPr>
            <w:tcW w:w="0" w:type="auto"/>
            <w:hideMark/>
          </w:tcPr>
          <w:p w14:paraId="3D6D510F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Integrated risk dashboards including security</w:t>
            </w:r>
          </w:p>
        </w:tc>
        <w:tc>
          <w:tcPr>
            <w:tcW w:w="0" w:type="auto"/>
            <w:hideMark/>
          </w:tcPr>
          <w:p w14:paraId="25CB8218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risks regularly discussed in strategic planning</w:t>
            </w:r>
          </w:p>
        </w:tc>
        <w:tc>
          <w:tcPr>
            <w:tcW w:w="0" w:type="auto"/>
            <w:hideMark/>
          </w:tcPr>
          <w:p w14:paraId="0B4A9DCD" w14:textId="77777777" w:rsidR="00187AEE" w:rsidRPr="00187AEE" w:rsidRDefault="00187AEE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□</w:t>
            </w:r>
          </w:p>
        </w:tc>
      </w:tr>
      <w:tr w:rsidR="00187AEE" w:rsidRPr="00187AEE" w14:paraId="0D584A70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hideMark/>
          </w:tcPr>
          <w:p w14:paraId="025D1FB2" w14:textId="77777777" w:rsidR="00187AEE" w:rsidRPr="00187AEE" w:rsidRDefault="00187AEE" w:rsidP="005C3B97">
            <w:pPr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Risk-Based Decisions</w:t>
            </w:r>
          </w:p>
        </w:tc>
        <w:tc>
          <w:tcPr>
            <w:tcW w:w="1265" w:type="dxa"/>
            <w:hideMark/>
          </w:tcPr>
          <w:p w14:paraId="49959A73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investment decisions made separately from other investments</w:t>
            </w:r>
          </w:p>
        </w:tc>
        <w:tc>
          <w:tcPr>
            <w:tcW w:w="0" w:type="auto"/>
            <w:hideMark/>
          </w:tcPr>
          <w:p w14:paraId="0B52FCC2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investments sometimes evaluated based on risk reduction</w:t>
            </w:r>
          </w:p>
        </w:tc>
        <w:tc>
          <w:tcPr>
            <w:tcW w:w="0" w:type="auto"/>
            <w:hideMark/>
          </w:tcPr>
          <w:p w14:paraId="09B753D4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Consistent risk-based approach to security investments</w:t>
            </w:r>
          </w:p>
        </w:tc>
        <w:tc>
          <w:tcPr>
            <w:tcW w:w="0" w:type="auto"/>
            <w:hideMark/>
          </w:tcPr>
          <w:p w14:paraId="5917AC14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Security investments optimized across enterprise risk portfolio</w:t>
            </w:r>
          </w:p>
        </w:tc>
        <w:tc>
          <w:tcPr>
            <w:tcW w:w="0" w:type="auto"/>
            <w:hideMark/>
          </w:tcPr>
          <w:p w14:paraId="7C3160B7" w14:textId="77777777" w:rsidR="00187AEE" w:rsidRPr="00187AEE" w:rsidRDefault="00187AEE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7AEE">
              <w:rPr>
                <w:rFonts w:ascii="Verdana" w:hAnsi="Verdana"/>
              </w:rPr>
              <w:t>□</w:t>
            </w:r>
          </w:p>
        </w:tc>
      </w:tr>
    </w:tbl>
    <w:p w14:paraId="0F2C6B34" w14:textId="6E49C90E" w:rsidR="00187AEE" w:rsidRDefault="00187AEE" w:rsidP="00187AEE">
      <w:pPr>
        <w:pStyle w:val="Caption"/>
        <w:rPr>
          <w:rFonts w:ascii="Verdana" w:hAnsi="Verdana"/>
        </w:rPr>
      </w:pPr>
      <w:r w:rsidRPr="00187AEE">
        <w:rPr>
          <w:rFonts w:ascii="Verdana" w:hAnsi="Verdana"/>
        </w:rPr>
        <w:t xml:space="preserve">Table </w:t>
      </w:r>
      <w:r w:rsidRPr="00187AEE">
        <w:rPr>
          <w:rFonts w:ascii="Verdana" w:hAnsi="Verdana"/>
        </w:rPr>
        <w:fldChar w:fldCharType="begin"/>
      </w:r>
      <w:r w:rsidRPr="00187AEE">
        <w:rPr>
          <w:rFonts w:ascii="Verdana" w:hAnsi="Verdana"/>
        </w:rPr>
        <w:instrText xml:space="preserve"> SEQ Table \* ARABIC </w:instrText>
      </w:r>
      <w:r w:rsidRPr="00187AEE">
        <w:rPr>
          <w:rFonts w:ascii="Verdana" w:hAnsi="Verdana"/>
        </w:rPr>
        <w:fldChar w:fldCharType="separate"/>
      </w:r>
      <w:r w:rsidRPr="00187AEE">
        <w:rPr>
          <w:rFonts w:ascii="Verdana" w:hAnsi="Verdana"/>
          <w:noProof/>
        </w:rPr>
        <w:t>1</w:t>
      </w:r>
      <w:r w:rsidRPr="00187AEE">
        <w:rPr>
          <w:rFonts w:ascii="Verdana" w:hAnsi="Verdana"/>
          <w:noProof/>
        </w:rPr>
        <w:fldChar w:fldCharType="end"/>
      </w:r>
      <w:r w:rsidRPr="00187AEE">
        <w:rPr>
          <w:rFonts w:ascii="Verdana" w:hAnsi="Verdana"/>
        </w:rPr>
        <w:t>: Security-ERM Integration Maturity Assessment Framework</w:t>
      </w:r>
    </w:p>
    <w:p w14:paraId="0D4C0288" w14:textId="77777777" w:rsidR="00A102D3" w:rsidRPr="00A102D3" w:rsidRDefault="00A102D3" w:rsidP="00A102D3"/>
    <w:p w14:paraId="6A0DB463" w14:textId="2ACE18AD" w:rsidR="00A102D3" w:rsidRPr="00A102D3" w:rsidRDefault="00A102D3" w:rsidP="00A102D3">
      <w:pPr>
        <w:tabs>
          <w:tab w:val="left" w:pos="4720"/>
        </w:tabs>
      </w:pPr>
      <w:r>
        <w:tab/>
      </w:r>
    </w:p>
    <w:p w14:paraId="36196C6E" w14:textId="77777777" w:rsidR="00187AEE" w:rsidRPr="00187AEE" w:rsidRDefault="00187AEE" w:rsidP="00187AEE">
      <w:pPr>
        <w:rPr>
          <w:rFonts w:ascii="Verdana" w:hAnsi="Verdana"/>
        </w:rPr>
      </w:pPr>
      <w:r w:rsidRPr="00187AEE">
        <w:rPr>
          <w:rFonts w:ascii="Verdana" w:hAnsi="Verdana"/>
          <w:b/>
          <w:bCs/>
        </w:rPr>
        <w:lastRenderedPageBreak/>
        <w:t>Scoring:</w:t>
      </w:r>
      <w:r w:rsidRPr="00187AEE">
        <w:rPr>
          <w:rFonts w:ascii="Verdana" w:hAnsi="Verdana"/>
        </w:rPr>
        <w:t xml:space="preserve"> For each dimension, determine your organization's current level (1-4) and mark in the "Your Rating" column. Calculate your average score across all dimensions to determine your overall maturity level.</w:t>
      </w:r>
    </w:p>
    <w:p w14:paraId="086176D4" w14:textId="77777777" w:rsidR="00187AEE" w:rsidRPr="00187AEE" w:rsidRDefault="00187AEE" w:rsidP="00187AEE">
      <w:pPr>
        <w:rPr>
          <w:rFonts w:ascii="Verdana" w:hAnsi="Verdana"/>
        </w:rPr>
      </w:pPr>
      <w:r w:rsidRPr="00187AEE">
        <w:rPr>
          <w:rFonts w:ascii="Verdana" w:hAnsi="Verdana"/>
          <w:b/>
          <w:bCs/>
        </w:rPr>
        <w:t>Improvement Planning:</w:t>
      </w:r>
      <w:r w:rsidRPr="00187AEE">
        <w:rPr>
          <w:rFonts w:ascii="Verdana" w:hAnsi="Verdana"/>
        </w:rPr>
        <w:t xml:space="preserve"> For dimensions where you scored below your target level, identify specific actions to advance to the next level. Prioritize improvements based on business impact and implementation feasibility.</w:t>
      </w:r>
    </w:p>
    <w:p w14:paraId="1E1865B4" w14:textId="77777777" w:rsidR="00187AEE" w:rsidRPr="00187AEE" w:rsidRDefault="00187AEE" w:rsidP="00187AEE">
      <w:pPr>
        <w:pStyle w:val="Heading2"/>
        <w:rPr>
          <w:rFonts w:ascii="Verdana" w:hAnsi="Verdana"/>
        </w:rPr>
      </w:pPr>
      <w:r w:rsidRPr="00187AEE">
        <w:rPr>
          <w:rFonts w:ascii="Verdana" w:hAnsi="Verdana"/>
        </w:rPr>
        <w:t>IMPLEMENTATION TIPS:</w:t>
      </w:r>
    </w:p>
    <w:p w14:paraId="29027732" w14:textId="77777777" w:rsidR="00187AEE" w:rsidRPr="00187AEE" w:rsidRDefault="00187AEE" w:rsidP="00187AE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7AEE">
        <w:rPr>
          <w:rFonts w:ascii="Verdana" w:hAnsi="Verdana"/>
        </w:rPr>
        <w:t>Involve both security and business stakeholders in the assessment to gain diverse perspectives</w:t>
      </w:r>
    </w:p>
    <w:p w14:paraId="5EA3739B" w14:textId="77777777" w:rsidR="00187AEE" w:rsidRPr="00187AEE" w:rsidRDefault="00187AEE" w:rsidP="00187AE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7AEE">
        <w:rPr>
          <w:rFonts w:ascii="Verdana" w:hAnsi="Verdana"/>
        </w:rPr>
        <w:t>Use specific examples from your organization to justify each rating rather than relying on general impressions</w:t>
      </w:r>
    </w:p>
    <w:p w14:paraId="3F96F539" w14:textId="77777777" w:rsidR="00187AEE" w:rsidRPr="00187AEE" w:rsidRDefault="00187AEE" w:rsidP="00187AE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87AEE">
        <w:rPr>
          <w:rFonts w:ascii="Verdana" w:hAnsi="Verdana"/>
        </w:rPr>
        <w:t>Reassess annually to track progress and adjust improvement priorities</w:t>
      </w:r>
    </w:p>
    <w:p w14:paraId="58547628" w14:textId="77777777" w:rsidR="005A3C36" w:rsidRPr="00187AEE" w:rsidRDefault="005A3C36" w:rsidP="00187AEE">
      <w:pPr>
        <w:rPr>
          <w:rFonts w:ascii="Verdana" w:hAnsi="Verdana"/>
        </w:rPr>
      </w:pPr>
    </w:p>
    <w:sectPr w:rsidR="005A3C36" w:rsidRPr="00187AEE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DA83" w14:textId="77777777" w:rsidR="00A26B3C" w:rsidRDefault="00A26B3C" w:rsidP="005A3C36">
      <w:pPr>
        <w:spacing w:after="0" w:line="240" w:lineRule="auto"/>
      </w:pPr>
      <w:r>
        <w:separator/>
      </w:r>
    </w:p>
  </w:endnote>
  <w:endnote w:type="continuationSeparator" w:id="0">
    <w:p w14:paraId="155B81FB" w14:textId="77777777" w:rsidR="00A26B3C" w:rsidRDefault="00A26B3C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0ADC" w14:textId="77777777" w:rsidR="00A102D3" w:rsidRDefault="00A102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75961" w14:textId="752E9805" w:rsidR="005A3C36" w:rsidRPr="005A3C36" w:rsidRDefault="00A102D3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21A8" w14:textId="77777777" w:rsidR="00A102D3" w:rsidRDefault="00A102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31CB0" w14:textId="77777777" w:rsidR="00A26B3C" w:rsidRDefault="00A26B3C" w:rsidP="005A3C36">
      <w:pPr>
        <w:spacing w:after="0" w:line="240" w:lineRule="auto"/>
      </w:pPr>
      <w:r>
        <w:separator/>
      </w:r>
    </w:p>
  </w:footnote>
  <w:footnote w:type="continuationSeparator" w:id="0">
    <w:p w14:paraId="278A8BCD" w14:textId="77777777" w:rsidR="00A26B3C" w:rsidRDefault="00A26B3C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41282" w14:textId="77777777" w:rsidR="00A102D3" w:rsidRDefault="00A102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A928" w14:textId="1A84EB90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187AEE">
      <w:rPr>
        <w:rFonts w:ascii="Verdana" w:hAnsi="Verdana"/>
      </w:rPr>
      <w:t>4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52166" w14:textId="77777777" w:rsidR="00A102D3" w:rsidRDefault="00A102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33E1B"/>
    <w:multiLevelType w:val="hybridMultilevel"/>
    <w:tmpl w:val="9100351A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92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EE"/>
    <w:rsid w:val="000756A1"/>
    <w:rsid w:val="00187AEE"/>
    <w:rsid w:val="002A6616"/>
    <w:rsid w:val="002B75FE"/>
    <w:rsid w:val="003D29EA"/>
    <w:rsid w:val="004B29F0"/>
    <w:rsid w:val="00543E0E"/>
    <w:rsid w:val="005A3C36"/>
    <w:rsid w:val="005D6A07"/>
    <w:rsid w:val="007C7472"/>
    <w:rsid w:val="0097167D"/>
    <w:rsid w:val="00A102D3"/>
    <w:rsid w:val="00A26B3C"/>
    <w:rsid w:val="00A80303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7188C"/>
  <w15:chartTrackingRefBased/>
  <w15:docId w15:val="{7AAB98CE-83F9-43CF-8250-6870166E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AEE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187AE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187AE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102D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2D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Chapter #: (NAME)</vt:lpstr>
      <vt:lpstr>Security-ERM Integration Maturity Assessment Framework</vt:lpstr>
      <vt:lpstr>    IMPLEMENTATION TIPS:</vt:lpstr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4: Security-ERM Integration Maturity Assessment Framework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2025-08-25T17:43:00Z</dcterms:created>
  <dcterms:modified xsi:type="dcterms:W3CDTF">2026-05-19T20:01:00Z</dcterms:modified>
</cp:coreProperties>
</file>