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0AFB" w14:textId="77777777" w:rsidR="00C65056" w:rsidRPr="00C65056" w:rsidRDefault="00C65056" w:rsidP="00C65056">
      <w:pPr>
        <w:pStyle w:val="Heading1"/>
        <w:rPr>
          <w:rFonts w:ascii="Verdana" w:hAnsi="Verdana"/>
        </w:rPr>
      </w:pPr>
      <w:r w:rsidRPr="00C65056">
        <w:rPr>
          <w:rFonts w:ascii="Verdana" w:hAnsi="Verdana"/>
        </w:rPr>
        <w:t>Exercise: ROI Calculator Template</w:t>
      </w:r>
    </w:p>
    <w:p w14:paraId="1F33F848" w14:textId="77777777" w:rsidR="00C65056" w:rsidRPr="00C65056" w:rsidRDefault="00C65056" w:rsidP="00C65056">
      <w:pPr>
        <w:rPr>
          <w:rFonts w:ascii="Verdana" w:hAnsi="Verdana"/>
        </w:rPr>
      </w:pPr>
      <w:r w:rsidRPr="00C65056">
        <w:rPr>
          <w:rFonts w:ascii="Verdana" w:hAnsi="Verdana"/>
        </w:rPr>
        <w:t>Create a ROI analysis for your next security investment using this template:</w:t>
      </w:r>
    </w:p>
    <w:p w14:paraId="27C8A55E" w14:textId="77777777" w:rsidR="00C65056" w:rsidRPr="00C65056" w:rsidRDefault="00C65056" w:rsidP="00C65056">
      <w:pPr>
        <w:rPr>
          <w:rFonts w:ascii="Verdana" w:hAnsi="Verdana"/>
          <w:b/>
          <w:bCs/>
        </w:rPr>
      </w:pPr>
      <w:r w:rsidRPr="00C65056">
        <w:rPr>
          <w:rFonts w:ascii="Verdana" w:hAnsi="Verdana"/>
          <w:b/>
          <w:bCs/>
        </w:rPr>
        <w:t xml:space="preserve">Investment Costs: </w:t>
      </w:r>
    </w:p>
    <w:p w14:paraId="577CDE5D" w14:textId="77777777" w:rsidR="00C65056" w:rsidRPr="00C65056" w:rsidRDefault="00C65056" w:rsidP="00C65056">
      <w:pPr>
        <w:rPr>
          <w:rFonts w:ascii="Verdana" w:hAnsi="Verdana"/>
        </w:rPr>
      </w:pPr>
      <w:r w:rsidRPr="00C65056">
        <w:rPr>
          <w:rFonts w:ascii="Verdana" w:hAnsi="Verdana"/>
        </w:rPr>
        <w:t>Initial purchase: $___________</w:t>
      </w:r>
    </w:p>
    <w:p w14:paraId="6C6B801B" w14:textId="77777777" w:rsidR="00C65056" w:rsidRPr="00C65056" w:rsidRDefault="00C65056" w:rsidP="00C65056">
      <w:pPr>
        <w:rPr>
          <w:rFonts w:ascii="Verdana" w:hAnsi="Verdana"/>
        </w:rPr>
      </w:pPr>
      <w:r w:rsidRPr="00C65056">
        <w:rPr>
          <w:rFonts w:ascii="Verdana" w:hAnsi="Verdana"/>
        </w:rPr>
        <w:t>Implementation: $___________</w:t>
      </w:r>
    </w:p>
    <w:p w14:paraId="731E8258" w14:textId="77777777" w:rsidR="00C65056" w:rsidRPr="00C65056" w:rsidRDefault="00C65056" w:rsidP="00C65056">
      <w:pPr>
        <w:rPr>
          <w:rFonts w:ascii="Verdana" w:hAnsi="Verdana"/>
        </w:rPr>
      </w:pPr>
      <w:r w:rsidRPr="00C65056">
        <w:rPr>
          <w:rFonts w:ascii="Verdana" w:hAnsi="Verdana"/>
        </w:rPr>
        <w:t>Training: $___________</w:t>
      </w:r>
    </w:p>
    <w:p w14:paraId="747B5197" w14:textId="77777777" w:rsidR="00C65056" w:rsidRPr="00C65056" w:rsidRDefault="00C65056" w:rsidP="00C65056">
      <w:pPr>
        <w:rPr>
          <w:rFonts w:ascii="Verdana" w:hAnsi="Verdana"/>
        </w:rPr>
      </w:pPr>
      <w:r w:rsidRPr="00C65056">
        <w:rPr>
          <w:rFonts w:ascii="Verdana" w:hAnsi="Verdana"/>
        </w:rPr>
        <w:t>Maintenance (annual): $___________</w:t>
      </w:r>
    </w:p>
    <w:p w14:paraId="39F61627" w14:textId="77777777" w:rsidR="00C65056" w:rsidRPr="00C65056" w:rsidRDefault="00C65056" w:rsidP="00C65056">
      <w:pPr>
        <w:rPr>
          <w:rFonts w:ascii="Verdana" w:hAnsi="Verdana"/>
        </w:rPr>
      </w:pPr>
      <w:r w:rsidRPr="00C65056">
        <w:rPr>
          <w:rFonts w:ascii="Verdana" w:hAnsi="Verdana"/>
        </w:rPr>
        <w:t>Total 3-year TCO: $___________</w:t>
      </w:r>
    </w:p>
    <w:p w14:paraId="30BC993B" w14:textId="77777777" w:rsidR="00C65056" w:rsidRPr="00C65056" w:rsidRDefault="00C65056" w:rsidP="00C65056">
      <w:pPr>
        <w:rPr>
          <w:rFonts w:ascii="Verdana" w:hAnsi="Verdana"/>
        </w:rPr>
      </w:pPr>
    </w:p>
    <w:p w14:paraId="4E4F35B7" w14:textId="77777777" w:rsidR="00C65056" w:rsidRPr="00C65056" w:rsidRDefault="00C65056" w:rsidP="00C65056">
      <w:pPr>
        <w:rPr>
          <w:rFonts w:ascii="Verdana" w:hAnsi="Verdana"/>
          <w:b/>
          <w:bCs/>
        </w:rPr>
      </w:pPr>
      <w:r w:rsidRPr="00C65056">
        <w:rPr>
          <w:rFonts w:ascii="Verdana" w:hAnsi="Verdana"/>
          <w:b/>
          <w:bCs/>
        </w:rPr>
        <w:t xml:space="preserve">Risk Reduction Benefits: </w:t>
      </w:r>
    </w:p>
    <w:p w14:paraId="4FCC79AF" w14:textId="77777777" w:rsidR="00C65056" w:rsidRPr="00C65056" w:rsidRDefault="00C65056" w:rsidP="00C65056">
      <w:pPr>
        <w:rPr>
          <w:rFonts w:ascii="Verdana" w:hAnsi="Verdana"/>
        </w:rPr>
      </w:pPr>
      <w:r w:rsidRPr="00C65056">
        <w:rPr>
          <w:rFonts w:ascii="Verdana" w:hAnsi="Verdana"/>
        </w:rPr>
        <w:t>Current ALE for targeted risks: $___________</w:t>
      </w:r>
    </w:p>
    <w:p w14:paraId="7264FDFF" w14:textId="77777777" w:rsidR="00C65056" w:rsidRPr="00C65056" w:rsidRDefault="00C65056" w:rsidP="00C65056">
      <w:pPr>
        <w:rPr>
          <w:rFonts w:ascii="Verdana" w:hAnsi="Verdana"/>
        </w:rPr>
      </w:pPr>
      <w:r w:rsidRPr="00C65056">
        <w:rPr>
          <w:rFonts w:ascii="Verdana" w:hAnsi="Verdana"/>
        </w:rPr>
        <w:t>Expected ALE after implementation: $___________</w:t>
      </w:r>
    </w:p>
    <w:p w14:paraId="27710E28" w14:textId="77777777" w:rsidR="00C65056" w:rsidRPr="00C65056" w:rsidRDefault="00C65056" w:rsidP="00C65056">
      <w:pPr>
        <w:rPr>
          <w:rFonts w:ascii="Verdana" w:hAnsi="Verdana"/>
        </w:rPr>
      </w:pPr>
      <w:r w:rsidRPr="00C65056">
        <w:rPr>
          <w:rFonts w:ascii="Verdana" w:hAnsi="Verdana"/>
        </w:rPr>
        <w:t>Annual risk reduction value: $___________</w:t>
      </w:r>
    </w:p>
    <w:p w14:paraId="3738EB60" w14:textId="77777777" w:rsidR="00C65056" w:rsidRPr="00C65056" w:rsidRDefault="00C65056" w:rsidP="00C65056">
      <w:pPr>
        <w:rPr>
          <w:rFonts w:ascii="Verdana" w:hAnsi="Verdana"/>
        </w:rPr>
      </w:pPr>
      <w:r w:rsidRPr="00C65056">
        <w:rPr>
          <w:rFonts w:ascii="Verdana" w:hAnsi="Verdana"/>
        </w:rPr>
        <w:t>3-year risk reduction value: $___________</w:t>
      </w:r>
    </w:p>
    <w:p w14:paraId="1DAA895C" w14:textId="77777777" w:rsidR="00C65056" w:rsidRPr="00C65056" w:rsidRDefault="00C65056" w:rsidP="00C65056">
      <w:pPr>
        <w:rPr>
          <w:rFonts w:ascii="Verdana" w:hAnsi="Verdana"/>
        </w:rPr>
      </w:pPr>
    </w:p>
    <w:p w14:paraId="32644CD7" w14:textId="77777777" w:rsidR="00C65056" w:rsidRPr="00C65056" w:rsidRDefault="00C65056" w:rsidP="00C65056">
      <w:pPr>
        <w:rPr>
          <w:rFonts w:ascii="Verdana" w:hAnsi="Verdana"/>
          <w:b/>
          <w:bCs/>
        </w:rPr>
      </w:pPr>
      <w:r w:rsidRPr="00C65056">
        <w:rPr>
          <w:rFonts w:ascii="Verdana" w:hAnsi="Verdana"/>
          <w:b/>
          <w:bCs/>
        </w:rPr>
        <w:t xml:space="preserve">Business Enablement Benefits: </w:t>
      </w:r>
    </w:p>
    <w:p w14:paraId="4CE49358" w14:textId="77777777" w:rsidR="00C65056" w:rsidRPr="00C65056" w:rsidRDefault="00C65056" w:rsidP="00C65056">
      <w:pPr>
        <w:rPr>
          <w:rFonts w:ascii="Verdana" w:hAnsi="Verdana"/>
        </w:rPr>
      </w:pPr>
      <w:r w:rsidRPr="00C65056">
        <w:rPr>
          <w:rFonts w:ascii="Verdana" w:hAnsi="Verdana"/>
        </w:rPr>
        <w:t>Operational efficiency gains: $___________</w:t>
      </w:r>
    </w:p>
    <w:p w14:paraId="77F57C7E" w14:textId="77777777" w:rsidR="00C65056" w:rsidRPr="00C65056" w:rsidRDefault="00C65056" w:rsidP="00C65056">
      <w:pPr>
        <w:rPr>
          <w:rFonts w:ascii="Verdana" w:hAnsi="Verdana"/>
        </w:rPr>
      </w:pPr>
      <w:r w:rsidRPr="00C65056">
        <w:rPr>
          <w:rFonts w:ascii="Verdana" w:hAnsi="Verdana"/>
        </w:rPr>
        <w:t>Reduced compliance costs: $___________</w:t>
      </w:r>
    </w:p>
    <w:p w14:paraId="1FB5F2B3" w14:textId="77777777" w:rsidR="00C65056" w:rsidRPr="00C65056" w:rsidRDefault="00C65056" w:rsidP="00C65056">
      <w:pPr>
        <w:rPr>
          <w:rFonts w:ascii="Verdana" w:hAnsi="Verdana"/>
        </w:rPr>
      </w:pPr>
      <w:r w:rsidRPr="00C65056">
        <w:rPr>
          <w:rFonts w:ascii="Verdana" w:hAnsi="Verdana"/>
        </w:rPr>
        <w:t>Revenue protection/enablement: $___________</w:t>
      </w:r>
    </w:p>
    <w:p w14:paraId="222C797F" w14:textId="77777777" w:rsidR="00C65056" w:rsidRPr="00C65056" w:rsidRDefault="00C65056" w:rsidP="00C65056">
      <w:pPr>
        <w:rPr>
          <w:rFonts w:ascii="Verdana" w:hAnsi="Verdana"/>
        </w:rPr>
      </w:pPr>
      <w:r w:rsidRPr="00C65056">
        <w:rPr>
          <w:rFonts w:ascii="Verdana" w:hAnsi="Verdana"/>
        </w:rPr>
        <w:t>3-year business enablement value: $___________</w:t>
      </w:r>
    </w:p>
    <w:p w14:paraId="1F3DC705" w14:textId="77777777" w:rsidR="00C65056" w:rsidRPr="00C65056" w:rsidRDefault="00C65056" w:rsidP="00C65056">
      <w:pPr>
        <w:rPr>
          <w:rFonts w:ascii="Verdana" w:hAnsi="Verdana"/>
        </w:rPr>
      </w:pPr>
    </w:p>
    <w:p w14:paraId="2008C20A" w14:textId="77777777" w:rsidR="00C65056" w:rsidRPr="00C65056" w:rsidRDefault="00C65056" w:rsidP="00C65056">
      <w:pPr>
        <w:rPr>
          <w:rFonts w:ascii="Verdana" w:hAnsi="Verdana"/>
          <w:b/>
          <w:bCs/>
        </w:rPr>
      </w:pPr>
      <w:r w:rsidRPr="00C65056">
        <w:rPr>
          <w:rFonts w:ascii="Verdana" w:hAnsi="Verdana"/>
          <w:b/>
          <w:bCs/>
        </w:rPr>
        <w:t xml:space="preserve">Financial Analysis: </w:t>
      </w:r>
    </w:p>
    <w:p w14:paraId="0B08CE75" w14:textId="77777777" w:rsidR="00C65056" w:rsidRPr="00C65056" w:rsidRDefault="00C65056" w:rsidP="00C65056">
      <w:pPr>
        <w:rPr>
          <w:rFonts w:ascii="Verdana" w:hAnsi="Verdana"/>
        </w:rPr>
      </w:pPr>
      <w:r w:rsidRPr="00C65056">
        <w:rPr>
          <w:rFonts w:ascii="Verdana" w:hAnsi="Verdana"/>
        </w:rPr>
        <w:t>3-year ROI: _____% (Total benefits ÷ TCO)</w:t>
      </w:r>
    </w:p>
    <w:p w14:paraId="6BE5034B" w14:textId="77777777" w:rsidR="00C65056" w:rsidRPr="00C65056" w:rsidRDefault="00C65056" w:rsidP="00C65056">
      <w:pPr>
        <w:rPr>
          <w:rFonts w:ascii="Verdana" w:hAnsi="Verdana"/>
        </w:rPr>
      </w:pPr>
      <w:r w:rsidRPr="00C65056">
        <w:rPr>
          <w:rFonts w:ascii="Verdana" w:hAnsi="Verdana"/>
        </w:rPr>
        <w:t>Payback period: _____ months</w:t>
      </w:r>
    </w:p>
    <w:p w14:paraId="4BBC3534" w14:textId="77777777" w:rsidR="00C65056" w:rsidRPr="00C65056" w:rsidRDefault="00C65056" w:rsidP="00C65056">
      <w:pPr>
        <w:rPr>
          <w:rFonts w:ascii="Verdana" w:hAnsi="Verdana"/>
        </w:rPr>
      </w:pPr>
      <w:r w:rsidRPr="00C65056">
        <w:rPr>
          <w:rFonts w:ascii="Verdana" w:hAnsi="Verdana"/>
        </w:rPr>
        <w:t>NPV (at % discount rate): $_________</w:t>
      </w:r>
    </w:p>
    <w:p w14:paraId="0E51E788" w14:textId="77777777" w:rsidR="00C65056" w:rsidRPr="00C65056" w:rsidRDefault="00C65056" w:rsidP="00C65056">
      <w:pPr>
        <w:rPr>
          <w:rFonts w:ascii="Verdana" w:hAnsi="Verdana"/>
        </w:rPr>
      </w:pPr>
    </w:p>
    <w:p w14:paraId="772C0580" w14:textId="1FA8E257" w:rsidR="00C65056" w:rsidRPr="00C65056" w:rsidRDefault="00C65056" w:rsidP="001A6E77">
      <w:pPr>
        <w:tabs>
          <w:tab w:val="left" w:pos="4440"/>
        </w:tabs>
        <w:rPr>
          <w:rFonts w:ascii="Verdana" w:hAnsi="Verdana"/>
          <w:b/>
          <w:bCs/>
        </w:rPr>
      </w:pPr>
      <w:r w:rsidRPr="00C65056">
        <w:rPr>
          <w:rFonts w:ascii="Verdana" w:hAnsi="Verdana"/>
          <w:b/>
          <w:bCs/>
        </w:rPr>
        <w:t xml:space="preserve">Intangible Benefits: </w:t>
      </w:r>
      <w:r w:rsidR="001A6E77">
        <w:rPr>
          <w:rFonts w:ascii="Verdana" w:hAnsi="Verdana"/>
          <w:b/>
          <w:bCs/>
        </w:rPr>
        <w:tab/>
      </w:r>
    </w:p>
    <w:p w14:paraId="6EDBE912" w14:textId="77777777" w:rsidR="00C65056" w:rsidRPr="00C65056" w:rsidRDefault="00C65056" w:rsidP="00C65056">
      <w:pPr>
        <w:rPr>
          <w:rFonts w:ascii="Verdana" w:hAnsi="Verdana"/>
        </w:rPr>
      </w:pPr>
      <w:r w:rsidRPr="00C65056">
        <w:rPr>
          <w:rFonts w:ascii="Verdana" w:hAnsi="Verdana"/>
        </w:rPr>
        <w:lastRenderedPageBreak/>
        <w:t>[List key intangible benefits with qualitative descriptions]</w:t>
      </w:r>
    </w:p>
    <w:p w14:paraId="05895533" w14:textId="77777777" w:rsidR="00C65056" w:rsidRPr="00C65056" w:rsidRDefault="00C65056" w:rsidP="00C65056">
      <w:pPr>
        <w:rPr>
          <w:rFonts w:ascii="Verdana" w:hAnsi="Verdana"/>
        </w:rPr>
      </w:pPr>
      <w:r w:rsidRPr="00C65056">
        <w:rPr>
          <w:rFonts w:ascii="Verdana" w:hAnsi="Verdana"/>
        </w:rPr>
        <w:t>By developing comprehensive financial models that account for both direct and indirect benefits while acknowledging uncertainty, security leaders can build credible business cases that withstand financial scrutiny and demonstrate security's business value.</w:t>
      </w:r>
    </w:p>
    <w:p w14:paraId="6BC2075E" w14:textId="77777777" w:rsidR="005A3C36" w:rsidRPr="00C65056" w:rsidRDefault="005A3C36" w:rsidP="00C65056">
      <w:pPr>
        <w:rPr>
          <w:rFonts w:ascii="Verdana" w:hAnsi="Verdana"/>
        </w:rPr>
      </w:pPr>
    </w:p>
    <w:sectPr w:rsidR="005A3C36" w:rsidRPr="00C65056" w:rsidSect="0097167D">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F560" w14:textId="77777777" w:rsidR="00716F01" w:rsidRDefault="00716F01" w:rsidP="005A3C36">
      <w:pPr>
        <w:spacing w:after="0" w:line="240" w:lineRule="auto"/>
      </w:pPr>
      <w:r>
        <w:separator/>
      </w:r>
    </w:p>
  </w:endnote>
  <w:endnote w:type="continuationSeparator" w:id="0">
    <w:p w14:paraId="3EE66F9E" w14:textId="77777777" w:rsidR="00716F01" w:rsidRDefault="00716F01" w:rsidP="005A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B0FD" w14:textId="77777777" w:rsidR="001A6E77" w:rsidRDefault="001A6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0F45" w14:textId="48230836" w:rsidR="005A3C36" w:rsidRPr="005A3C36" w:rsidRDefault="001A6E77">
    <w:pPr>
      <w:pStyle w:val="Footer"/>
      <w:rPr>
        <w:rFonts w:ascii="Verdana" w:hAnsi="Verdana"/>
      </w:rPr>
    </w:pPr>
    <w:r w:rsidRPr="005A3C36">
      <w:rPr>
        <w:rFonts w:ascii="Verdana" w:hAnsi="Verdana"/>
      </w:rPr>
      <w:t>©</w:t>
    </w:r>
    <w:hyperlink r:id="rId1" w:history="1">
      <w:r w:rsidRPr="00A77713">
        <w:rPr>
          <w:rStyle w:val="Hyperlink"/>
          <w:rFonts w:ascii="Verdana" w:hAnsi="Verdana"/>
        </w:rPr>
        <w:t>Kayne McGladrey</w:t>
      </w:r>
    </w:hyperlink>
    <w:r w:rsidRPr="005A3C36">
      <w:rPr>
        <w:rFonts w:ascii="Verdana" w:hAnsi="Verdana"/>
      </w:rPr>
      <w:t xml:space="preserve"> – </w:t>
    </w:r>
    <w:hyperlink r:id="rId2" w:history="1">
      <w:r w:rsidRPr="00A96ED3">
        <w:rPr>
          <w:rStyle w:val="Hyperlink"/>
          <w:rFonts w:ascii="Verdana" w:hAnsi="Verdana"/>
        </w:rPr>
        <w:t>Get the fu</w:t>
      </w:r>
      <w:r w:rsidRPr="00A96ED3">
        <w:rPr>
          <w:rStyle w:val="Hyperlink"/>
          <w:rFonts w:ascii="Verdana" w:hAnsi="Verdana"/>
        </w:rPr>
        <w:t>l</w:t>
      </w:r>
      <w:r w:rsidRPr="00A96ED3">
        <w:rPr>
          <w:rStyle w:val="Hyperlink"/>
          <w:rFonts w:ascii="Verdana" w:hAnsi="Verdana"/>
        </w:rPr>
        <w:t>l book</w:t>
      </w:r>
      <w:r w:rsidRPr="00A96ED3">
        <w:rPr>
          <w:rStyle w:val="Hyperlink"/>
          <w:rFonts w:ascii="Verdana" w:hAnsi="Verdana"/>
        </w:rPr>
        <w:tab/>
      </w:r>
    </w:hyperlink>
    <w:r>
      <w:rPr>
        <w:rFonts w:ascii="Verdana" w:hAnsi="Verdana"/>
      </w:rPr>
      <w:tab/>
    </w:r>
    <w:r w:rsidRPr="005A3C36">
      <w:rPr>
        <w:rFonts w:ascii="Verdana" w:hAnsi="Verdana"/>
      </w:rPr>
      <w:tab/>
    </w:r>
    <w:r w:rsidRPr="005A3C36">
      <w:rPr>
        <w:rFonts w:ascii="Verdana" w:hAnsi="Verdana"/>
      </w:rPr>
      <w:fldChar w:fldCharType="begin"/>
    </w:r>
    <w:r w:rsidRPr="005A3C36">
      <w:rPr>
        <w:rFonts w:ascii="Verdana" w:hAnsi="Verdana"/>
      </w:rPr>
      <w:instrText xml:space="preserve"> PAGE   \* MERGEFORMAT </w:instrText>
    </w:r>
    <w:r w:rsidRPr="005A3C36">
      <w:rPr>
        <w:rFonts w:ascii="Verdana" w:hAnsi="Verdana"/>
      </w:rPr>
      <w:fldChar w:fldCharType="separate"/>
    </w:r>
    <w:r>
      <w:rPr>
        <w:rFonts w:ascii="Verdana" w:hAnsi="Verdana"/>
      </w:rPr>
      <w:t>1</w:t>
    </w:r>
    <w:r w:rsidRPr="005A3C36">
      <w:rPr>
        <w:rFonts w:ascii="Verdana" w:hAnsi="Verdana"/>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2037" w14:textId="77777777" w:rsidR="001A6E77" w:rsidRDefault="001A6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0537" w14:textId="77777777" w:rsidR="00716F01" w:rsidRDefault="00716F01" w:rsidP="005A3C36">
      <w:pPr>
        <w:spacing w:after="0" w:line="240" w:lineRule="auto"/>
      </w:pPr>
      <w:r>
        <w:separator/>
      </w:r>
    </w:p>
  </w:footnote>
  <w:footnote w:type="continuationSeparator" w:id="0">
    <w:p w14:paraId="258DA7B1" w14:textId="77777777" w:rsidR="00716F01" w:rsidRDefault="00716F01" w:rsidP="005A3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E1787" w14:textId="77777777" w:rsidR="001A6E77" w:rsidRDefault="001A6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ECD9" w14:textId="0D20E128" w:rsidR="005A3C36" w:rsidRPr="005A3C36" w:rsidRDefault="005A3C36">
    <w:pPr>
      <w:pStyle w:val="Header"/>
      <w:rPr>
        <w:rFonts w:ascii="Verdana" w:hAnsi="Verdana"/>
      </w:rPr>
    </w:pPr>
    <w:r>
      <w:rPr>
        <w:rFonts w:ascii="Verdana" w:hAnsi="Verdana"/>
      </w:rPr>
      <w:t xml:space="preserve">Cyber Risk is a Myth – Chapter </w:t>
    </w:r>
    <w:r w:rsidR="00C65056">
      <w:rPr>
        <w:rFonts w:ascii="Verdana" w:hAnsi="Verdana"/>
      </w:rPr>
      <w:t>5</w:t>
    </w:r>
    <w:r>
      <w:rPr>
        <w:rFonts w:ascii="Verdana" w:hAnsi="Verdana"/>
      </w:rPr>
      <w:t xml:space="preserve"> - Kayne McGladrey, CISSP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9914" w14:textId="77777777" w:rsidR="001A6E77" w:rsidRDefault="001A6E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056"/>
    <w:rsid w:val="000756A1"/>
    <w:rsid w:val="000B7CB1"/>
    <w:rsid w:val="001A6E77"/>
    <w:rsid w:val="001B2392"/>
    <w:rsid w:val="002A6616"/>
    <w:rsid w:val="002B75FE"/>
    <w:rsid w:val="004B29F0"/>
    <w:rsid w:val="00543E0E"/>
    <w:rsid w:val="005A3C36"/>
    <w:rsid w:val="00716F01"/>
    <w:rsid w:val="007B339E"/>
    <w:rsid w:val="007C7472"/>
    <w:rsid w:val="0097167D"/>
    <w:rsid w:val="00A80303"/>
    <w:rsid w:val="00B56A81"/>
    <w:rsid w:val="00C65056"/>
    <w:rsid w:val="00EF110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9D409"/>
  <w15:chartTrackingRefBased/>
  <w15:docId w15:val="{A6EB28EF-0720-4E68-9050-480B832B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56"/>
  </w:style>
  <w:style w:type="paragraph" w:styleId="Heading1">
    <w:name w:val="heading 1"/>
    <w:basedOn w:val="Normal"/>
    <w:next w:val="Normal"/>
    <w:link w:val="Heading1Char"/>
    <w:uiPriority w:val="9"/>
    <w:qFormat/>
    <w:rsid w:val="005A3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C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A3C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C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C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C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C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C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C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C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C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C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C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C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C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C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C36"/>
    <w:rPr>
      <w:rFonts w:eastAsiaTheme="majorEastAsia" w:cstheme="majorBidi"/>
      <w:color w:val="272727" w:themeColor="text1" w:themeTint="D8"/>
    </w:rPr>
  </w:style>
  <w:style w:type="paragraph" w:styleId="Title">
    <w:name w:val="Title"/>
    <w:basedOn w:val="Normal"/>
    <w:next w:val="Normal"/>
    <w:link w:val="TitleChar"/>
    <w:uiPriority w:val="10"/>
    <w:qFormat/>
    <w:rsid w:val="005A3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C36"/>
    <w:pPr>
      <w:spacing w:before="160"/>
      <w:jc w:val="center"/>
    </w:pPr>
    <w:rPr>
      <w:i/>
      <w:iCs/>
      <w:color w:val="404040" w:themeColor="text1" w:themeTint="BF"/>
    </w:rPr>
  </w:style>
  <w:style w:type="character" w:customStyle="1" w:styleId="QuoteChar">
    <w:name w:val="Quote Char"/>
    <w:basedOn w:val="DefaultParagraphFont"/>
    <w:link w:val="Quote"/>
    <w:uiPriority w:val="29"/>
    <w:rsid w:val="005A3C36"/>
    <w:rPr>
      <w:i/>
      <w:iCs/>
      <w:color w:val="404040" w:themeColor="text1" w:themeTint="BF"/>
    </w:rPr>
  </w:style>
  <w:style w:type="paragraph" w:styleId="ListParagraph">
    <w:name w:val="List Paragraph"/>
    <w:basedOn w:val="Normal"/>
    <w:uiPriority w:val="34"/>
    <w:qFormat/>
    <w:rsid w:val="005A3C36"/>
    <w:pPr>
      <w:ind w:left="720"/>
      <w:contextualSpacing/>
    </w:pPr>
  </w:style>
  <w:style w:type="character" w:styleId="IntenseEmphasis">
    <w:name w:val="Intense Emphasis"/>
    <w:basedOn w:val="DefaultParagraphFont"/>
    <w:uiPriority w:val="21"/>
    <w:qFormat/>
    <w:rsid w:val="005A3C36"/>
    <w:rPr>
      <w:i/>
      <w:iCs/>
      <w:color w:val="0F4761" w:themeColor="accent1" w:themeShade="BF"/>
    </w:rPr>
  </w:style>
  <w:style w:type="paragraph" w:styleId="IntenseQuote">
    <w:name w:val="Intense Quote"/>
    <w:basedOn w:val="Normal"/>
    <w:next w:val="Normal"/>
    <w:link w:val="IntenseQuoteChar"/>
    <w:uiPriority w:val="30"/>
    <w:qFormat/>
    <w:rsid w:val="005A3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C36"/>
    <w:rPr>
      <w:i/>
      <w:iCs/>
      <w:color w:val="0F4761" w:themeColor="accent1" w:themeShade="BF"/>
    </w:rPr>
  </w:style>
  <w:style w:type="character" w:styleId="IntenseReference">
    <w:name w:val="Intense Reference"/>
    <w:basedOn w:val="DefaultParagraphFont"/>
    <w:uiPriority w:val="32"/>
    <w:qFormat/>
    <w:rsid w:val="005A3C36"/>
    <w:rPr>
      <w:b/>
      <w:bCs/>
      <w:smallCaps/>
      <w:color w:val="0F4761" w:themeColor="accent1" w:themeShade="BF"/>
      <w:spacing w:val="5"/>
    </w:rPr>
  </w:style>
  <w:style w:type="paragraph" w:styleId="Header">
    <w:name w:val="header"/>
    <w:basedOn w:val="Normal"/>
    <w:link w:val="HeaderChar"/>
    <w:uiPriority w:val="99"/>
    <w:unhideWhenUsed/>
    <w:rsid w:val="005A3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C36"/>
  </w:style>
  <w:style w:type="paragraph" w:styleId="Footer">
    <w:name w:val="footer"/>
    <w:basedOn w:val="Normal"/>
    <w:link w:val="FooterChar"/>
    <w:uiPriority w:val="99"/>
    <w:unhideWhenUsed/>
    <w:rsid w:val="005A3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C36"/>
  </w:style>
  <w:style w:type="character" w:styleId="Hyperlink">
    <w:name w:val="Hyperlink"/>
    <w:basedOn w:val="DefaultParagraphFont"/>
    <w:uiPriority w:val="99"/>
    <w:unhideWhenUsed/>
    <w:rsid w:val="001A6E77"/>
    <w:rPr>
      <w:color w:val="467886" w:themeColor="hyperlink"/>
      <w:u w:val="single"/>
    </w:rPr>
  </w:style>
  <w:style w:type="character" w:styleId="FollowedHyperlink">
    <w:name w:val="FollowedHyperlink"/>
    <w:basedOn w:val="DefaultParagraphFont"/>
    <w:uiPriority w:val="99"/>
    <w:semiHidden/>
    <w:unhideWhenUsed/>
    <w:rsid w:val="001A6E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routledge.com/Cyber-Risk-is-a-Myth-A-Business-Approach-to-Integrated-Risk-Management/McGladrey/p/book/9781041249054" TargetMode="External"/><Relationship Id="rId1" Type="http://schemas.openxmlformats.org/officeDocument/2006/relationships/hyperlink" Target="https://kaynemcgladre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ne\Documents\Custom%20Office%20Templates\Downloadable%20Resource%20-%20better%20marg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Downloadable Resource - better margins.dotx</Template>
  <TotalTime>1</TotalTime>
  <Pages>2</Pages>
  <Words>173</Words>
  <Characters>988</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Chapter #: (NAME)</vt:lpstr>
      <vt:lpstr>Exercise: ROI Calculator Template</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 Exercise: ROI Calculator Template</dc:title>
  <dc:subject>Cybersecurity, Risk Management</dc:subject>
  <dc:creator>Kayne McGladrey</dc:creator>
  <cp:keywords/>
  <dc:description>From the book "Cyber Risk is a Myth" by Kayne McGladrey</dc:description>
  <cp:lastModifiedBy>Kayne McGladrey</cp:lastModifiedBy>
  <cp:revision>2</cp:revision>
  <dcterms:created xsi:type="dcterms:W3CDTF">2025-08-25T22:52:00Z</dcterms:created>
  <dcterms:modified xsi:type="dcterms:W3CDTF">2026-05-19T20:06:00Z</dcterms:modified>
</cp:coreProperties>
</file>