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9B8F" w14:textId="77777777" w:rsidR="003C1587" w:rsidRPr="003C1587" w:rsidRDefault="003C1587" w:rsidP="003C1587">
      <w:pPr>
        <w:pStyle w:val="Heading1"/>
        <w:rPr>
          <w:rFonts w:ascii="Verdana" w:hAnsi="Verdana"/>
        </w:rPr>
      </w:pPr>
      <w:r w:rsidRPr="003C1587">
        <w:rPr>
          <w:rFonts w:ascii="Verdana" w:hAnsi="Verdana"/>
        </w:rPr>
        <w:t>Security-Business Alignment Matrix</w:t>
      </w:r>
    </w:p>
    <w:p w14:paraId="0A2478BF" w14:textId="77777777" w:rsidR="003C1587" w:rsidRPr="003C1587" w:rsidRDefault="003C1587" w:rsidP="003C158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C1587">
        <w:rPr>
          <w:rFonts w:ascii="Verdana" w:hAnsi="Verdana"/>
          <w:b/>
          <w:bCs/>
        </w:rPr>
        <w:t>PURPOSE:</w:t>
      </w:r>
      <w:r w:rsidRPr="003C1587">
        <w:rPr>
          <w:rFonts w:ascii="Verdana" w:hAnsi="Verdana"/>
        </w:rPr>
        <w:t xml:space="preserve"> Transforms technical security requirements into business-focused investment proposals by explicitly mapping security capabilities to strategic business objectives.</w:t>
      </w:r>
    </w:p>
    <w:p w14:paraId="3438E8EA" w14:textId="77777777" w:rsidR="003C1587" w:rsidRPr="003C1587" w:rsidRDefault="003C1587" w:rsidP="003C158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C1587">
        <w:rPr>
          <w:rFonts w:ascii="Verdana" w:hAnsi="Verdana"/>
          <w:b/>
          <w:bCs/>
        </w:rPr>
        <w:t xml:space="preserve">WHEN TO USE: </w:t>
      </w:r>
      <w:r w:rsidRPr="003C1587">
        <w:rPr>
          <w:rFonts w:ascii="Verdana" w:hAnsi="Verdana"/>
        </w:rPr>
        <w:t>When preparing funding requests, during annual budget planning, or when needing to reframe existing security initiatives to gain executive support.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692"/>
        <w:gridCol w:w="1802"/>
        <w:gridCol w:w="1935"/>
        <w:gridCol w:w="1914"/>
        <w:gridCol w:w="1631"/>
        <w:gridCol w:w="1816"/>
      </w:tblGrid>
      <w:tr w:rsidR="003C1587" w:rsidRPr="003C1587" w14:paraId="55475E4B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4C3553" w14:textId="77777777" w:rsidR="003C1587" w:rsidRPr="003C1587" w:rsidRDefault="003C1587" w:rsidP="005C3B97">
            <w:pPr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Business Objective</w:t>
            </w:r>
          </w:p>
        </w:tc>
        <w:tc>
          <w:tcPr>
            <w:tcW w:w="0" w:type="auto"/>
            <w:hideMark/>
          </w:tcPr>
          <w:p w14:paraId="34A65C3D" w14:textId="77777777" w:rsidR="003C1587" w:rsidRPr="003C1587" w:rsidRDefault="003C158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Security Initiative</w:t>
            </w:r>
          </w:p>
        </w:tc>
        <w:tc>
          <w:tcPr>
            <w:tcW w:w="0" w:type="auto"/>
            <w:hideMark/>
          </w:tcPr>
          <w:p w14:paraId="6D2D54A4" w14:textId="77777777" w:rsidR="003C1587" w:rsidRPr="003C1587" w:rsidRDefault="003C158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Business Value</w:t>
            </w:r>
          </w:p>
        </w:tc>
        <w:tc>
          <w:tcPr>
            <w:tcW w:w="0" w:type="auto"/>
            <w:hideMark/>
          </w:tcPr>
          <w:p w14:paraId="7F151887" w14:textId="77777777" w:rsidR="003C1587" w:rsidRPr="003C1587" w:rsidRDefault="003C158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Risk Consequence</w:t>
            </w:r>
          </w:p>
        </w:tc>
        <w:tc>
          <w:tcPr>
            <w:tcW w:w="0" w:type="auto"/>
            <w:hideMark/>
          </w:tcPr>
          <w:p w14:paraId="675AE41C" w14:textId="77777777" w:rsidR="003C1587" w:rsidRPr="003C1587" w:rsidRDefault="003C158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Quantified Impact</w:t>
            </w:r>
          </w:p>
        </w:tc>
        <w:tc>
          <w:tcPr>
            <w:tcW w:w="0" w:type="auto"/>
            <w:hideMark/>
          </w:tcPr>
          <w:p w14:paraId="24EDE3C2" w14:textId="77777777" w:rsidR="003C1587" w:rsidRPr="003C1587" w:rsidRDefault="003C1587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Timing Alignment</w:t>
            </w:r>
          </w:p>
        </w:tc>
      </w:tr>
      <w:tr w:rsidR="003C1587" w:rsidRPr="003C1587" w14:paraId="5CD71033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F954C4" w14:textId="77777777" w:rsidR="003C1587" w:rsidRPr="003C1587" w:rsidRDefault="003C1587" w:rsidP="005C3B97">
            <w:pPr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[Strategic goal from annual report or executive priorities]</w:t>
            </w:r>
          </w:p>
        </w:tc>
        <w:tc>
          <w:tcPr>
            <w:tcW w:w="0" w:type="auto"/>
            <w:hideMark/>
          </w:tcPr>
          <w:p w14:paraId="51359DCC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[Security capability or program]</w:t>
            </w:r>
          </w:p>
        </w:tc>
        <w:tc>
          <w:tcPr>
            <w:tcW w:w="0" w:type="auto"/>
            <w:hideMark/>
          </w:tcPr>
          <w:p w14:paraId="10F3769A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[How this security initiative enables or protects the business objective]</w:t>
            </w:r>
          </w:p>
        </w:tc>
        <w:tc>
          <w:tcPr>
            <w:tcW w:w="0" w:type="auto"/>
            <w:hideMark/>
          </w:tcPr>
          <w:p w14:paraId="67199D1A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[Business impact if security issue occurs]</w:t>
            </w:r>
          </w:p>
        </w:tc>
        <w:tc>
          <w:tcPr>
            <w:tcW w:w="0" w:type="auto"/>
            <w:hideMark/>
          </w:tcPr>
          <w:p w14:paraId="5CACE043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[Financial estimate of opportunity or risk]</w:t>
            </w:r>
          </w:p>
        </w:tc>
        <w:tc>
          <w:tcPr>
            <w:tcW w:w="0" w:type="auto"/>
            <w:hideMark/>
          </w:tcPr>
          <w:p w14:paraId="6F2440CE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[How this aligns with business timeline]</w:t>
            </w:r>
          </w:p>
        </w:tc>
      </w:tr>
      <w:tr w:rsidR="003C1587" w:rsidRPr="003C1587" w14:paraId="661ED09B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956DFD" w14:textId="77777777" w:rsidR="003C1587" w:rsidRPr="003C1587" w:rsidRDefault="003C1587" w:rsidP="005C3B97">
            <w:pPr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Example: Expand into Southeast Asian markets</w:t>
            </w:r>
          </w:p>
        </w:tc>
        <w:tc>
          <w:tcPr>
            <w:tcW w:w="0" w:type="auto"/>
            <w:hideMark/>
          </w:tcPr>
          <w:p w14:paraId="1CA9473F" w14:textId="77777777" w:rsidR="003C1587" w:rsidRPr="003C1587" w:rsidRDefault="003C158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Identity and access management platform upgrade</w:t>
            </w:r>
          </w:p>
        </w:tc>
        <w:tc>
          <w:tcPr>
            <w:tcW w:w="0" w:type="auto"/>
            <w:hideMark/>
          </w:tcPr>
          <w:p w14:paraId="251F088A" w14:textId="77777777" w:rsidR="003C1587" w:rsidRPr="003C1587" w:rsidRDefault="003C158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Satisfies regulatory requirements for financial services in Malaysia and Singapore; enables secure customer onboarding</w:t>
            </w:r>
          </w:p>
        </w:tc>
        <w:tc>
          <w:tcPr>
            <w:tcW w:w="0" w:type="auto"/>
            <w:hideMark/>
          </w:tcPr>
          <w:p w14:paraId="32976901" w14:textId="77777777" w:rsidR="003C1587" w:rsidRPr="003C1587" w:rsidRDefault="003C158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Market entry delays; potential regulatory penalties; competitor advantage</w:t>
            </w:r>
          </w:p>
        </w:tc>
        <w:tc>
          <w:tcPr>
            <w:tcW w:w="0" w:type="auto"/>
            <w:hideMark/>
          </w:tcPr>
          <w:p w14:paraId="75A42127" w14:textId="77777777" w:rsidR="003C1587" w:rsidRPr="003C1587" w:rsidRDefault="003C158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$2.4M in delayed revenue per quarter; $800K in compliance costs</w:t>
            </w:r>
          </w:p>
        </w:tc>
        <w:tc>
          <w:tcPr>
            <w:tcW w:w="0" w:type="auto"/>
            <w:hideMark/>
          </w:tcPr>
          <w:p w14:paraId="3498D48C" w14:textId="77777777" w:rsidR="003C1587" w:rsidRPr="003C1587" w:rsidRDefault="003C1587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Implement 60 days before regional expansion</w:t>
            </w:r>
          </w:p>
        </w:tc>
      </w:tr>
      <w:tr w:rsidR="003C1587" w:rsidRPr="003C1587" w14:paraId="193A3D66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35AAAB" w14:textId="77777777" w:rsidR="003C1587" w:rsidRPr="003C1587" w:rsidRDefault="003C1587" w:rsidP="005C3B97">
            <w:pPr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Example: Improve customer experience and reduce call volume by 15%</w:t>
            </w:r>
          </w:p>
        </w:tc>
        <w:tc>
          <w:tcPr>
            <w:tcW w:w="0" w:type="auto"/>
            <w:hideMark/>
          </w:tcPr>
          <w:p w14:paraId="70E12C39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Authentication framework enhancement</w:t>
            </w:r>
          </w:p>
        </w:tc>
        <w:tc>
          <w:tcPr>
            <w:tcW w:w="0" w:type="auto"/>
            <w:hideMark/>
          </w:tcPr>
          <w:p w14:paraId="096A7933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Allows seamless omnichannel experience while maintaining security; reduces friction in customer journey</w:t>
            </w:r>
          </w:p>
        </w:tc>
        <w:tc>
          <w:tcPr>
            <w:tcW w:w="0" w:type="auto"/>
            <w:hideMark/>
          </w:tcPr>
          <w:p w14:paraId="54B861FB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Customer abandonment; fraud increase; competitive disadvantage</w:t>
            </w:r>
          </w:p>
        </w:tc>
        <w:tc>
          <w:tcPr>
            <w:tcW w:w="0" w:type="auto"/>
            <w:hideMark/>
          </w:tcPr>
          <w:p w14:paraId="4093CCD3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$3.2M annual cost savings from reduced call volume; 7% improved conversion</w:t>
            </w:r>
          </w:p>
        </w:tc>
        <w:tc>
          <w:tcPr>
            <w:tcW w:w="0" w:type="auto"/>
            <w:hideMark/>
          </w:tcPr>
          <w:p w14:paraId="0125910C" w14:textId="77777777" w:rsidR="003C1587" w:rsidRPr="003C1587" w:rsidRDefault="003C1587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C1587">
              <w:rPr>
                <w:rFonts w:ascii="Verdana" w:hAnsi="Verdana"/>
              </w:rPr>
              <w:t>Aligns with Q3 digital transformation initiative</w:t>
            </w:r>
          </w:p>
        </w:tc>
      </w:tr>
    </w:tbl>
    <w:p w14:paraId="6A5222D5" w14:textId="46573F5C" w:rsidR="003C1587" w:rsidRPr="003C1587" w:rsidRDefault="003C1587" w:rsidP="003C1587">
      <w:pPr>
        <w:pStyle w:val="Caption"/>
        <w:rPr>
          <w:rFonts w:ascii="Verdana" w:hAnsi="Verdana"/>
        </w:rPr>
      </w:pPr>
      <w:r w:rsidRPr="003C1587">
        <w:rPr>
          <w:rFonts w:ascii="Verdana" w:hAnsi="Verdana"/>
        </w:rPr>
        <w:t xml:space="preserve">Table </w:t>
      </w:r>
      <w:r w:rsidRPr="003C1587">
        <w:rPr>
          <w:rFonts w:ascii="Verdana" w:hAnsi="Verdana"/>
        </w:rPr>
        <w:fldChar w:fldCharType="begin"/>
      </w:r>
      <w:r w:rsidRPr="003C1587">
        <w:rPr>
          <w:rFonts w:ascii="Verdana" w:hAnsi="Verdana"/>
        </w:rPr>
        <w:instrText xml:space="preserve"> SEQ Table \* ARABIC </w:instrText>
      </w:r>
      <w:r w:rsidRPr="003C1587">
        <w:rPr>
          <w:rFonts w:ascii="Verdana" w:hAnsi="Verdana"/>
        </w:rPr>
        <w:fldChar w:fldCharType="separate"/>
      </w:r>
      <w:r w:rsidRPr="003C1587">
        <w:rPr>
          <w:rFonts w:ascii="Verdana" w:hAnsi="Verdana"/>
          <w:noProof/>
        </w:rPr>
        <w:t>1</w:t>
      </w:r>
      <w:r w:rsidRPr="003C1587">
        <w:rPr>
          <w:rFonts w:ascii="Verdana" w:hAnsi="Verdana"/>
          <w:noProof/>
        </w:rPr>
        <w:fldChar w:fldCharType="end"/>
      </w:r>
      <w:r w:rsidRPr="003C1587">
        <w:rPr>
          <w:rFonts w:ascii="Verdana" w:hAnsi="Verdana"/>
        </w:rPr>
        <w:t>: Security-Business Alignment Matrix</w:t>
      </w:r>
    </w:p>
    <w:p w14:paraId="6C0F343C" w14:textId="77777777" w:rsidR="003C1587" w:rsidRPr="003C1587" w:rsidRDefault="003C1587" w:rsidP="003C1587">
      <w:pPr>
        <w:pStyle w:val="Heading2"/>
        <w:rPr>
          <w:rFonts w:ascii="Verdana" w:hAnsi="Verdana"/>
        </w:rPr>
      </w:pPr>
      <w:r w:rsidRPr="003C1587">
        <w:rPr>
          <w:rFonts w:ascii="Verdana" w:hAnsi="Verdana"/>
        </w:rPr>
        <w:t>IMPLEMENTATION TIPS:</w:t>
      </w:r>
    </w:p>
    <w:p w14:paraId="1E53C4B4" w14:textId="77777777" w:rsidR="003C1587" w:rsidRPr="003C1587" w:rsidRDefault="003C1587" w:rsidP="003C1587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C1587">
        <w:rPr>
          <w:rFonts w:ascii="Verdana" w:hAnsi="Verdana"/>
        </w:rPr>
        <w:t>Start with 3-5 highest priority business objectives from current fiscal year</w:t>
      </w:r>
    </w:p>
    <w:p w14:paraId="0EADFE3E" w14:textId="77777777" w:rsidR="003C1587" w:rsidRPr="003C1587" w:rsidRDefault="003C1587" w:rsidP="003C1587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C1587">
        <w:rPr>
          <w:rFonts w:ascii="Verdana" w:hAnsi="Verdana"/>
        </w:rPr>
        <w:t>For each security initiative, include at least one concrete metric that business leaders already track</w:t>
      </w:r>
    </w:p>
    <w:p w14:paraId="43FF43A0" w14:textId="77777777" w:rsidR="003C1587" w:rsidRPr="003C1587" w:rsidRDefault="003C1587" w:rsidP="003C1587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C1587">
        <w:rPr>
          <w:rFonts w:ascii="Verdana" w:hAnsi="Verdana"/>
        </w:rPr>
        <w:t>Update quarterly to reflect changing business priorities and security landscape</w:t>
      </w:r>
    </w:p>
    <w:p w14:paraId="22D75CAD" w14:textId="77777777" w:rsidR="005A3C36" w:rsidRPr="003C1587" w:rsidRDefault="005A3C36" w:rsidP="003C1587">
      <w:pPr>
        <w:rPr>
          <w:rFonts w:ascii="Verdana" w:hAnsi="Verdana"/>
        </w:rPr>
      </w:pPr>
    </w:p>
    <w:sectPr w:rsidR="005A3C36" w:rsidRPr="003C1587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D7C8" w14:textId="77777777" w:rsidR="0048106B" w:rsidRDefault="0048106B" w:rsidP="005A3C36">
      <w:pPr>
        <w:spacing w:after="0" w:line="240" w:lineRule="auto"/>
      </w:pPr>
      <w:r>
        <w:separator/>
      </w:r>
    </w:p>
  </w:endnote>
  <w:endnote w:type="continuationSeparator" w:id="0">
    <w:p w14:paraId="79F18E39" w14:textId="77777777" w:rsidR="0048106B" w:rsidRDefault="0048106B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C5E5D" w14:textId="77777777" w:rsidR="00496517" w:rsidRDefault="004965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B3B91" w14:textId="1E65E837" w:rsidR="005A3C36" w:rsidRPr="005A3C36" w:rsidRDefault="00496517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4858" w14:textId="77777777" w:rsidR="00496517" w:rsidRDefault="00496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4353D" w14:textId="77777777" w:rsidR="0048106B" w:rsidRDefault="0048106B" w:rsidP="005A3C36">
      <w:pPr>
        <w:spacing w:after="0" w:line="240" w:lineRule="auto"/>
      </w:pPr>
      <w:r>
        <w:separator/>
      </w:r>
    </w:p>
  </w:footnote>
  <w:footnote w:type="continuationSeparator" w:id="0">
    <w:p w14:paraId="6167C854" w14:textId="77777777" w:rsidR="0048106B" w:rsidRDefault="0048106B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B284" w14:textId="77777777" w:rsidR="00496517" w:rsidRDefault="004965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03FE" w14:textId="50CF0B8B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3C1587">
      <w:rPr>
        <w:rFonts w:ascii="Verdana" w:hAnsi="Verdana"/>
      </w:rPr>
      <w:t>5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49B87" w14:textId="77777777" w:rsidR="00496517" w:rsidRDefault="00496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2D6A"/>
    <w:multiLevelType w:val="hybridMultilevel"/>
    <w:tmpl w:val="E5DEF5A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155036">
    <w:abstractNumId w:val="0"/>
  </w:num>
  <w:num w:numId="2" w16cid:durableId="998652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87"/>
    <w:rsid w:val="000756A1"/>
    <w:rsid w:val="002A6616"/>
    <w:rsid w:val="002B75FE"/>
    <w:rsid w:val="003C1587"/>
    <w:rsid w:val="0048106B"/>
    <w:rsid w:val="00496517"/>
    <w:rsid w:val="004B29F0"/>
    <w:rsid w:val="00543E0E"/>
    <w:rsid w:val="005A3C36"/>
    <w:rsid w:val="007C7472"/>
    <w:rsid w:val="0097167D"/>
    <w:rsid w:val="0098734A"/>
    <w:rsid w:val="00A80303"/>
    <w:rsid w:val="00B56A81"/>
    <w:rsid w:val="00EF110D"/>
    <w:rsid w:val="00FF2366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F3853"/>
  <w15:chartTrackingRefBased/>
  <w15:docId w15:val="{589F8B39-2A28-42FD-97C5-0958B8D5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587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3C15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3C1587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49651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65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Chapter #: (NAME)</vt:lpstr>
      <vt:lpstr>Security-Business Alignment Matrix</vt:lpstr>
      <vt:lpstr>    IMPLEMENTATION TIPS: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5: Security-Business Alignment Matrix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2025-08-25T17:50:00Z</dcterms:created>
  <dcterms:modified xsi:type="dcterms:W3CDTF">2026-05-19T20:02:00Z</dcterms:modified>
</cp:coreProperties>
</file>