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BD366" w14:textId="77777777" w:rsidR="007A4C4C" w:rsidRPr="007A4C4C" w:rsidRDefault="007A4C4C" w:rsidP="007A4C4C">
      <w:pPr>
        <w:pStyle w:val="Heading1"/>
        <w:rPr>
          <w:rFonts w:ascii="Verdana" w:hAnsi="Verdana"/>
        </w:rPr>
      </w:pPr>
      <w:r w:rsidRPr="007A4C4C">
        <w:rPr>
          <w:rFonts w:ascii="Verdana" w:hAnsi="Verdana"/>
        </w:rPr>
        <w:t>Security Investment Prioritization Matrix</w:t>
      </w:r>
    </w:p>
    <w:p w14:paraId="3499AE9F" w14:textId="77777777" w:rsidR="007A4C4C" w:rsidRPr="007A4C4C" w:rsidRDefault="007A4C4C" w:rsidP="007A4C4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A4C4C">
        <w:rPr>
          <w:rFonts w:ascii="Verdana" w:hAnsi="Verdana"/>
          <w:b/>
          <w:bCs/>
        </w:rPr>
        <w:t>PURPOSE:</w:t>
      </w:r>
      <w:r w:rsidRPr="007A4C4C">
        <w:rPr>
          <w:rFonts w:ascii="Verdana" w:hAnsi="Verdana"/>
        </w:rPr>
        <w:t xml:space="preserve"> Enables objective comparison and prioritization of security investments based on business impact, implementation feasibility, and strategic alignment.</w:t>
      </w:r>
    </w:p>
    <w:p w14:paraId="06CCD6F1" w14:textId="77777777" w:rsidR="007A4C4C" w:rsidRPr="007A4C4C" w:rsidRDefault="007A4C4C" w:rsidP="007A4C4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A4C4C">
        <w:rPr>
          <w:rFonts w:ascii="Verdana" w:hAnsi="Verdana"/>
          <w:b/>
          <w:bCs/>
        </w:rPr>
        <w:t xml:space="preserve">WHEN TO USE: </w:t>
      </w:r>
      <w:r w:rsidRPr="007A4C4C">
        <w:rPr>
          <w:rFonts w:ascii="Verdana" w:hAnsi="Verdana"/>
        </w:rPr>
        <w:t>When faced with multiple security investment options, limited resources, or when needing to build consensus across stakeholders on investment priorities.</w:t>
      </w:r>
    </w:p>
    <w:p w14:paraId="7B5E9278" w14:textId="77777777" w:rsidR="007A4C4C" w:rsidRPr="007A4C4C" w:rsidRDefault="007A4C4C" w:rsidP="007A4C4C">
      <w:pPr>
        <w:pStyle w:val="Heading2"/>
        <w:rPr>
          <w:rFonts w:ascii="Verdana" w:hAnsi="Verdana"/>
        </w:rPr>
      </w:pPr>
      <w:r w:rsidRPr="007A4C4C">
        <w:rPr>
          <w:rFonts w:ascii="Verdana" w:hAnsi="Verdana"/>
        </w:rPr>
        <w:t>STEP 1: DEFINE EVALUATION CRITERIA AND WEIGHTING</w:t>
      </w:r>
    </w:p>
    <w:p w14:paraId="76260B43" w14:textId="77777777" w:rsidR="007A4C4C" w:rsidRPr="007A4C4C" w:rsidRDefault="007A4C4C" w:rsidP="007A4C4C">
      <w:pPr>
        <w:rPr>
          <w:rFonts w:ascii="Verdana" w:hAnsi="Verdana"/>
        </w:rPr>
      </w:pPr>
      <w:r w:rsidRPr="007A4C4C">
        <w:rPr>
          <w:rFonts w:ascii="Verdana" w:hAnsi="Verdana"/>
        </w:rPr>
        <w:t>Assign weights to each category based on organizational priorities (total should equal 100%):</w:t>
      </w:r>
    </w:p>
    <w:p w14:paraId="2C8B0B58" w14:textId="77777777" w:rsidR="007A4C4C" w:rsidRPr="007A4C4C" w:rsidRDefault="007A4C4C" w:rsidP="007A4C4C">
      <w:pPr>
        <w:rPr>
          <w:rFonts w:ascii="Verdana" w:hAnsi="Verdana"/>
        </w:rPr>
      </w:pPr>
      <w:r w:rsidRPr="007A4C4C">
        <w:rPr>
          <w:rFonts w:ascii="Verdana" w:hAnsi="Verdana"/>
        </w:rPr>
        <w:t>Business Impact (____%)</w:t>
      </w:r>
    </w:p>
    <w:p w14:paraId="6D3EE823" w14:textId="77777777" w:rsidR="007A4C4C" w:rsidRPr="007A4C4C" w:rsidRDefault="007A4C4C" w:rsidP="007A4C4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A4C4C">
        <w:rPr>
          <w:rFonts w:ascii="Verdana" w:hAnsi="Verdana"/>
        </w:rPr>
        <w:t>Revenue protection/enablement</w:t>
      </w:r>
    </w:p>
    <w:p w14:paraId="215C7742" w14:textId="77777777" w:rsidR="007A4C4C" w:rsidRPr="007A4C4C" w:rsidRDefault="007A4C4C" w:rsidP="007A4C4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A4C4C">
        <w:rPr>
          <w:rFonts w:ascii="Verdana" w:hAnsi="Verdana"/>
        </w:rPr>
        <w:t>Cost reduction</w:t>
      </w:r>
    </w:p>
    <w:p w14:paraId="7357F238" w14:textId="77777777" w:rsidR="007A4C4C" w:rsidRPr="007A4C4C" w:rsidRDefault="007A4C4C" w:rsidP="007A4C4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A4C4C">
        <w:rPr>
          <w:rFonts w:ascii="Verdana" w:hAnsi="Verdana"/>
        </w:rPr>
        <w:t>Productivity improvement</w:t>
      </w:r>
    </w:p>
    <w:p w14:paraId="0FF446FB" w14:textId="77777777" w:rsidR="007A4C4C" w:rsidRPr="007A4C4C" w:rsidRDefault="007A4C4C" w:rsidP="007A4C4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A4C4C">
        <w:rPr>
          <w:rFonts w:ascii="Verdana" w:hAnsi="Verdana"/>
        </w:rPr>
        <w:t>Regulatory compliance</w:t>
      </w:r>
    </w:p>
    <w:p w14:paraId="2953CFBF" w14:textId="77777777" w:rsidR="007A4C4C" w:rsidRPr="007A4C4C" w:rsidRDefault="007A4C4C" w:rsidP="007A4C4C">
      <w:pPr>
        <w:rPr>
          <w:rFonts w:ascii="Verdana" w:hAnsi="Verdana"/>
        </w:rPr>
      </w:pPr>
      <w:r w:rsidRPr="007A4C4C">
        <w:rPr>
          <w:rFonts w:ascii="Verdana" w:hAnsi="Verdana"/>
        </w:rPr>
        <w:t>Risk Reduction (____%)</w:t>
      </w:r>
    </w:p>
    <w:p w14:paraId="0F558D95" w14:textId="77777777" w:rsidR="007A4C4C" w:rsidRPr="007A4C4C" w:rsidRDefault="007A4C4C" w:rsidP="007A4C4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A4C4C">
        <w:rPr>
          <w:rFonts w:ascii="Verdana" w:hAnsi="Verdana"/>
        </w:rPr>
        <w:t>Threat likelihood reduction</w:t>
      </w:r>
    </w:p>
    <w:p w14:paraId="602553A3" w14:textId="77777777" w:rsidR="007A4C4C" w:rsidRPr="007A4C4C" w:rsidRDefault="007A4C4C" w:rsidP="007A4C4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A4C4C">
        <w:rPr>
          <w:rFonts w:ascii="Verdana" w:hAnsi="Verdana"/>
        </w:rPr>
        <w:t>Potential impact mitigation</w:t>
      </w:r>
    </w:p>
    <w:p w14:paraId="13066B22" w14:textId="77777777" w:rsidR="007A4C4C" w:rsidRPr="007A4C4C" w:rsidRDefault="007A4C4C" w:rsidP="007A4C4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A4C4C">
        <w:rPr>
          <w:rFonts w:ascii="Verdana" w:hAnsi="Verdana"/>
        </w:rPr>
        <w:t>Scope of protection</w:t>
      </w:r>
    </w:p>
    <w:p w14:paraId="7848C5CC" w14:textId="77777777" w:rsidR="007A4C4C" w:rsidRPr="007A4C4C" w:rsidRDefault="007A4C4C" w:rsidP="007A4C4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A4C4C">
        <w:rPr>
          <w:rFonts w:ascii="Verdana" w:hAnsi="Verdana"/>
        </w:rPr>
        <w:t>Control effectiveness</w:t>
      </w:r>
    </w:p>
    <w:p w14:paraId="1AD92A22" w14:textId="77777777" w:rsidR="007A4C4C" w:rsidRPr="007A4C4C" w:rsidRDefault="007A4C4C" w:rsidP="007A4C4C">
      <w:pPr>
        <w:rPr>
          <w:rFonts w:ascii="Verdana" w:hAnsi="Verdana"/>
        </w:rPr>
      </w:pPr>
      <w:r w:rsidRPr="007A4C4C">
        <w:rPr>
          <w:rFonts w:ascii="Verdana" w:hAnsi="Verdana"/>
        </w:rPr>
        <w:t>Strategic Alignment (____%)</w:t>
      </w:r>
    </w:p>
    <w:p w14:paraId="18321A1E" w14:textId="77777777" w:rsidR="007A4C4C" w:rsidRPr="007A4C4C" w:rsidRDefault="007A4C4C" w:rsidP="007A4C4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A4C4C">
        <w:rPr>
          <w:rFonts w:ascii="Verdana" w:hAnsi="Verdana"/>
        </w:rPr>
        <w:t>Support for business initiatives</w:t>
      </w:r>
    </w:p>
    <w:p w14:paraId="5520BA7A" w14:textId="77777777" w:rsidR="007A4C4C" w:rsidRPr="007A4C4C" w:rsidRDefault="007A4C4C" w:rsidP="007A4C4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A4C4C">
        <w:rPr>
          <w:rFonts w:ascii="Verdana" w:hAnsi="Verdana"/>
        </w:rPr>
        <w:t>Executive priority alignment</w:t>
      </w:r>
    </w:p>
    <w:p w14:paraId="639EC265" w14:textId="77777777" w:rsidR="007A4C4C" w:rsidRPr="007A4C4C" w:rsidRDefault="007A4C4C" w:rsidP="007A4C4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A4C4C">
        <w:rPr>
          <w:rFonts w:ascii="Verdana" w:hAnsi="Verdana"/>
        </w:rPr>
        <w:t>Long-term security roadmap fit</w:t>
      </w:r>
    </w:p>
    <w:p w14:paraId="5C9481FE" w14:textId="77777777" w:rsidR="007A4C4C" w:rsidRPr="007A4C4C" w:rsidRDefault="007A4C4C" w:rsidP="007A4C4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A4C4C">
        <w:rPr>
          <w:rFonts w:ascii="Verdana" w:hAnsi="Verdana"/>
        </w:rPr>
        <w:t>Competitive differentiation</w:t>
      </w:r>
    </w:p>
    <w:p w14:paraId="484BDD4B" w14:textId="77777777" w:rsidR="007A4C4C" w:rsidRPr="007A4C4C" w:rsidRDefault="007A4C4C" w:rsidP="007A4C4C">
      <w:pPr>
        <w:rPr>
          <w:rFonts w:ascii="Verdana" w:hAnsi="Verdana"/>
        </w:rPr>
      </w:pPr>
      <w:r w:rsidRPr="007A4C4C">
        <w:rPr>
          <w:rFonts w:ascii="Verdana" w:hAnsi="Verdana"/>
        </w:rPr>
        <w:t>Implementation Feasibility (____%)</w:t>
      </w:r>
    </w:p>
    <w:p w14:paraId="21754EEE" w14:textId="77777777" w:rsidR="007A4C4C" w:rsidRPr="007A4C4C" w:rsidRDefault="007A4C4C" w:rsidP="007A4C4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A4C4C">
        <w:rPr>
          <w:rFonts w:ascii="Verdana" w:hAnsi="Verdana"/>
        </w:rPr>
        <w:t>Resource requirements</w:t>
      </w:r>
    </w:p>
    <w:p w14:paraId="2C61BB48" w14:textId="77777777" w:rsidR="007A4C4C" w:rsidRPr="007A4C4C" w:rsidRDefault="007A4C4C" w:rsidP="007A4C4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A4C4C">
        <w:rPr>
          <w:rFonts w:ascii="Verdana" w:hAnsi="Verdana"/>
        </w:rPr>
        <w:t>Implementation timeline</w:t>
      </w:r>
    </w:p>
    <w:p w14:paraId="3C5A8330" w14:textId="77777777" w:rsidR="007A4C4C" w:rsidRPr="007A4C4C" w:rsidRDefault="007A4C4C" w:rsidP="007A4C4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A4C4C">
        <w:rPr>
          <w:rFonts w:ascii="Verdana" w:hAnsi="Verdana"/>
        </w:rPr>
        <w:t>Technical complexity</w:t>
      </w:r>
    </w:p>
    <w:p w14:paraId="77678D98" w14:textId="77777777" w:rsidR="007A4C4C" w:rsidRPr="007A4C4C" w:rsidRDefault="007A4C4C" w:rsidP="007A4C4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A4C4C">
        <w:rPr>
          <w:rFonts w:ascii="Verdana" w:hAnsi="Verdana"/>
        </w:rPr>
        <w:t>Organizational change impact</w:t>
      </w:r>
    </w:p>
    <w:p w14:paraId="5AAFF328" w14:textId="77777777" w:rsidR="007A4C4C" w:rsidRPr="007A4C4C" w:rsidRDefault="007A4C4C" w:rsidP="007A4C4C">
      <w:pPr>
        <w:pStyle w:val="Heading2"/>
        <w:rPr>
          <w:rFonts w:ascii="Verdana" w:hAnsi="Verdana"/>
        </w:rPr>
      </w:pPr>
      <w:r w:rsidRPr="007A4C4C">
        <w:rPr>
          <w:rFonts w:ascii="Verdana" w:hAnsi="Verdana"/>
        </w:rPr>
        <w:t>STEP 2: RATE EACH INVESTMENT OPTION</w:t>
      </w:r>
    </w:p>
    <w:p w14:paraId="2B1037F3" w14:textId="77777777" w:rsidR="007A4C4C" w:rsidRPr="007A4C4C" w:rsidRDefault="007A4C4C" w:rsidP="007A4C4C">
      <w:pPr>
        <w:rPr>
          <w:rFonts w:ascii="Verdana" w:hAnsi="Verdana"/>
        </w:rPr>
      </w:pPr>
      <w:r w:rsidRPr="007A4C4C">
        <w:rPr>
          <w:rFonts w:ascii="Verdana" w:hAnsi="Verdana"/>
        </w:rPr>
        <w:t xml:space="preserve">Score each investment option on a scale of 1-5 for each criterion, where: </w:t>
      </w:r>
    </w:p>
    <w:p w14:paraId="283F26C4" w14:textId="77777777" w:rsidR="007A4C4C" w:rsidRPr="007A4C4C" w:rsidRDefault="007A4C4C" w:rsidP="007A4C4C">
      <w:pPr>
        <w:ind w:left="720"/>
        <w:rPr>
          <w:rFonts w:ascii="Verdana" w:hAnsi="Verdana"/>
        </w:rPr>
      </w:pPr>
      <w:r w:rsidRPr="007A4C4C">
        <w:rPr>
          <w:rFonts w:ascii="Verdana" w:hAnsi="Verdana"/>
        </w:rPr>
        <w:lastRenderedPageBreak/>
        <w:t xml:space="preserve">1 = Minimal contribution/very difficult </w:t>
      </w:r>
    </w:p>
    <w:p w14:paraId="19BEFD9B" w14:textId="77777777" w:rsidR="007A4C4C" w:rsidRPr="007A4C4C" w:rsidRDefault="007A4C4C" w:rsidP="007A4C4C">
      <w:pPr>
        <w:ind w:left="720"/>
        <w:rPr>
          <w:rFonts w:ascii="Verdana" w:hAnsi="Verdana"/>
        </w:rPr>
      </w:pPr>
      <w:r w:rsidRPr="007A4C4C">
        <w:rPr>
          <w:rFonts w:ascii="Verdana" w:hAnsi="Verdana"/>
        </w:rPr>
        <w:t xml:space="preserve">3 = Moderate contribution/average difficulty </w:t>
      </w:r>
    </w:p>
    <w:p w14:paraId="4F13D2F6" w14:textId="77777777" w:rsidR="007A4C4C" w:rsidRPr="007A4C4C" w:rsidRDefault="007A4C4C" w:rsidP="007A4C4C">
      <w:pPr>
        <w:ind w:left="720"/>
        <w:rPr>
          <w:rFonts w:ascii="Verdana" w:hAnsi="Verdana"/>
        </w:rPr>
      </w:pPr>
      <w:r w:rsidRPr="007A4C4C">
        <w:rPr>
          <w:rFonts w:ascii="Verdana" w:hAnsi="Verdana"/>
        </w:rPr>
        <w:t>5 = Significant contribution/very easy</w:t>
      </w:r>
    </w:p>
    <w:p w14:paraId="46911549" w14:textId="77777777" w:rsidR="007A4C4C" w:rsidRPr="007A4C4C" w:rsidRDefault="007A4C4C" w:rsidP="007A4C4C">
      <w:pPr>
        <w:pStyle w:val="Heading2"/>
        <w:rPr>
          <w:rFonts w:ascii="Verdana" w:hAnsi="Verdana"/>
        </w:rPr>
      </w:pPr>
      <w:r w:rsidRPr="007A4C4C">
        <w:rPr>
          <w:rFonts w:ascii="Verdana" w:hAnsi="Verdana"/>
        </w:rPr>
        <w:t>STEP 3: CALCULATE WEIGHTED SCORES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1671"/>
        <w:gridCol w:w="1750"/>
        <w:gridCol w:w="1824"/>
        <w:gridCol w:w="1948"/>
        <w:gridCol w:w="2633"/>
        <w:gridCol w:w="964"/>
      </w:tblGrid>
      <w:tr w:rsidR="007A4C4C" w:rsidRPr="007A4C4C" w14:paraId="7D641308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EA7D44" w14:textId="77777777" w:rsidR="007A4C4C" w:rsidRPr="007A4C4C" w:rsidRDefault="007A4C4C" w:rsidP="005C3B97">
            <w:pPr>
              <w:rPr>
                <w:rFonts w:ascii="Verdana" w:hAnsi="Verdana"/>
              </w:rPr>
            </w:pPr>
            <w:r w:rsidRPr="007A4C4C">
              <w:rPr>
                <w:rFonts w:ascii="Verdana" w:hAnsi="Verdana"/>
              </w:rPr>
              <w:t>Investment Option</w:t>
            </w:r>
          </w:p>
        </w:tc>
        <w:tc>
          <w:tcPr>
            <w:tcW w:w="0" w:type="auto"/>
            <w:hideMark/>
          </w:tcPr>
          <w:p w14:paraId="2CD47B30" w14:textId="77777777" w:rsidR="007A4C4C" w:rsidRPr="007A4C4C" w:rsidRDefault="007A4C4C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7A4C4C">
              <w:rPr>
                <w:rFonts w:ascii="Verdana" w:hAnsi="Verdana"/>
              </w:rPr>
              <w:t>Business Impact (Score × Weight)</w:t>
            </w:r>
          </w:p>
        </w:tc>
        <w:tc>
          <w:tcPr>
            <w:tcW w:w="0" w:type="auto"/>
            <w:hideMark/>
          </w:tcPr>
          <w:p w14:paraId="6E869FF9" w14:textId="77777777" w:rsidR="007A4C4C" w:rsidRPr="007A4C4C" w:rsidRDefault="007A4C4C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7A4C4C">
              <w:rPr>
                <w:rFonts w:ascii="Verdana" w:hAnsi="Verdana"/>
              </w:rPr>
              <w:t>Risk Reduction (Score × Weight)</w:t>
            </w:r>
          </w:p>
        </w:tc>
        <w:tc>
          <w:tcPr>
            <w:tcW w:w="0" w:type="auto"/>
            <w:hideMark/>
          </w:tcPr>
          <w:p w14:paraId="3DB414DC" w14:textId="77777777" w:rsidR="007A4C4C" w:rsidRPr="007A4C4C" w:rsidRDefault="007A4C4C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7A4C4C">
              <w:rPr>
                <w:rFonts w:ascii="Verdana" w:hAnsi="Verdana"/>
              </w:rPr>
              <w:t>Strategic Alignment (Score × Weight)</w:t>
            </w:r>
          </w:p>
        </w:tc>
        <w:tc>
          <w:tcPr>
            <w:tcW w:w="0" w:type="auto"/>
            <w:hideMark/>
          </w:tcPr>
          <w:p w14:paraId="40910A13" w14:textId="77777777" w:rsidR="007A4C4C" w:rsidRPr="007A4C4C" w:rsidRDefault="007A4C4C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7A4C4C">
              <w:rPr>
                <w:rFonts w:ascii="Verdana" w:hAnsi="Verdana"/>
              </w:rPr>
              <w:t>Implementation Feasibility (Score × Weight)</w:t>
            </w:r>
          </w:p>
        </w:tc>
        <w:tc>
          <w:tcPr>
            <w:tcW w:w="0" w:type="auto"/>
            <w:hideMark/>
          </w:tcPr>
          <w:p w14:paraId="173C3FB0" w14:textId="77777777" w:rsidR="007A4C4C" w:rsidRPr="007A4C4C" w:rsidRDefault="007A4C4C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7A4C4C">
              <w:rPr>
                <w:rFonts w:ascii="Verdana" w:hAnsi="Verdana"/>
              </w:rPr>
              <w:t>Total Score</w:t>
            </w:r>
          </w:p>
        </w:tc>
      </w:tr>
      <w:tr w:rsidR="007A4C4C" w:rsidRPr="007A4C4C" w14:paraId="211650FA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3B20C8" w14:textId="77777777" w:rsidR="007A4C4C" w:rsidRPr="007A4C4C" w:rsidRDefault="007A4C4C" w:rsidP="005C3B97">
            <w:pPr>
              <w:rPr>
                <w:rFonts w:ascii="Verdana" w:hAnsi="Verdana"/>
              </w:rPr>
            </w:pPr>
            <w:r w:rsidRPr="007A4C4C">
              <w:rPr>
                <w:rFonts w:ascii="Verdana" w:hAnsi="Verdana"/>
              </w:rPr>
              <w:t>Option A</w:t>
            </w:r>
          </w:p>
        </w:tc>
        <w:tc>
          <w:tcPr>
            <w:tcW w:w="0" w:type="auto"/>
            <w:hideMark/>
          </w:tcPr>
          <w:p w14:paraId="0E654A56" w14:textId="77777777" w:rsidR="007A4C4C" w:rsidRPr="007A4C4C" w:rsidRDefault="007A4C4C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EE18921" w14:textId="77777777" w:rsidR="007A4C4C" w:rsidRPr="007A4C4C" w:rsidRDefault="007A4C4C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D569733" w14:textId="77777777" w:rsidR="007A4C4C" w:rsidRPr="007A4C4C" w:rsidRDefault="007A4C4C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DF33BB2" w14:textId="77777777" w:rsidR="007A4C4C" w:rsidRPr="007A4C4C" w:rsidRDefault="007A4C4C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745F009" w14:textId="77777777" w:rsidR="007A4C4C" w:rsidRPr="007A4C4C" w:rsidRDefault="007A4C4C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7A4C4C" w:rsidRPr="007A4C4C" w14:paraId="152E328E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2D5A23" w14:textId="77777777" w:rsidR="007A4C4C" w:rsidRPr="007A4C4C" w:rsidRDefault="007A4C4C" w:rsidP="005C3B97">
            <w:pPr>
              <w:rPr>
                <w:rFonts w:ascii="Verdana" w:hAnsi="Verdana"/>
              </w:rPr>
            </w:pPr>
            <w:r w:rsidRPr="007A4C4C">
              <w:rPr>
                <w:rFonts w:ascii="Verdana" w:hAnsi="Verdana"/>
              </w:rPr>
              <w:t>Option B</w:t>
            </w:r>
          </w:p>
        </w:tc>
        <w:tc>
          <w:tcPr>
            <w:tcW w:w="0" w:type="auto"/>
            <w:hideMark/>
          </w:tcPr>
          <w:p w14:paraId="16E7F052" w14:textId="77777777" w:rsidR="007A4C4C" w:rsidRPr="007A4C4C" w:rsidRDefault="007A4C4C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AFB3A27" w14:textId="77777777" w:rsidR="007A4C4C" w:rsidRPr="007A4C4C" w:rsidRDefault="007A4C4C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72F2C521" w14:textId="77777777" w:rsidR="007A4C4C" w:rsidRPr="007A4C4C" w:rsidRDefault="007A4C4C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66817075" w14:textId="77777777" w:rsidR="007A4C4C" w:rsidRPr="007A4C4C" w:rsidRDefault="007A4C4C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0EC420E2" w14:textId="77777777" w:rsidR="007A4C4C" w:rsidRPr="007A4C4C" w:rsidRDefault="007A4C4C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7A4C4C" w:rsidRPr="007A4C4C" w14:paraId="25D2B28C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562AC2" w14:textId="77777777" w:rsidR="007A4C4C" w:rsidRPr="007A4C4C" w:rsidRDefault="007A4C4C" w:rsidP="005C3B97">
            <w:pPr>
              <w:rPr>
                <w:rFonts w:ascii="Verdana" w:hAnsi="Verdana"/>
              </w:rPr>
            </w:pPr>
            <w:r w:rsidRPr="007A4C4C">
              <w:rPr>
                <w:rFonts w:ascii="Verdana" w:hAnsi="Verdana"/>
              </w:rPr>
              <w:t>Option C</w:t>
            </w:r>
          </w:p>
        </w:tc>
        <w:tc>
          <w:tcPr>
            <w:tcW w:w="0" w:type="auto"/>
            <w:hideMark/>
          </w:tcPr>
          <w:p w14:paraId="0CB31EA9" w14:textId="77777777" w:rsidR="007A4C4C" w:rsidRPr="007A4C4C" w:rsidRDefault="007A4C4C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4EABE620" w14:textId="77777777" w:rsidR="007A4C4C" w:rsidRPr="007A4C4C" w:rsidRDefault="007A4C4C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3A84453" w14:textId="77777777" w:rsidR="007A4C4C" w:rsidRPr="007A4C4C" w:rsidRDefault="007A4C4C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5951F0CE" w14:textId="77777777" w:rsidR="007A4C4C" w:rsidRPr="007A4C4C" w:rsidRDefault="007A4C4C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14:paraId="378FE1B5" w14:textId="77777777" w:rsidR="007A4C4C" w:rsidRPr="007A4C4C" w:rsidRDefault="007A4C4C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1F187DE0" w14:textId="41B876D8" w:rsidR="007A4C4C" w:rsidRPr="007A4C4C" w:rsidRDefault="007A4C4C" w:rsidP="007A4C4C">
      <w:pPr>
        <w:pStyle w:val="Caption"/>
        <w:rPr>
          <w:rFonts w:ascii="Verdana" w:hAnsi="Verdana"/>
        </w:rPr>
      </w:pPr>
      <w:r w:rsidRPr="007A4C4C">
        <w:rPr>
          <w:rFonts w:ascii="Verdana" w:hAnsi="Verdana"/>
        </w:rPr>
        <w:t xml:space="preserve">Table </w:t>
      </w:r>
      <w:r w:rsidRPr="007A4C4C">
        <w:rPr>
          <w:rFonts w:ascii="Verdana" w:hAnsi="Verdana"/>
        </w:rPr>
        <w:fldChar w:fldCharType="begin"/>
      </w:r>
      <w:r w:rsidRPr="007A4C4C">
        <w:rPr>
          <w:rFonts w:ascii="Verdana" w:hAnsi="Verdana"/>
        </w:rPr>
        <w:instrText xml:space="preserve"> SEQ Table \* ARABIC </w:instrText>
      </w:r>
      <w:r w:rsidRPr="007A4C4C">
        <w:rPr>
          <w:rFonts w:ascii="Verdana" w:hAnsi="Verdana"/>
        </w:rPr>
        <w:fldChar w:fldCharType="separate"/>
      </w:r>
      <w:r w:rsidRPr="007A4C4C">
        <w:rPr>
          <w:rFonts w:ascii="Verdana" w:hAnsi="Verdana"/>
          <w:noProof/>
        </w:rPr>
        <w:t>1</w:t>
      </w:r>
      <w:r w:rsidRPr="007A4C4C">
        <w:rPr>
          <w:rFonts w:ascii="Verdana" w:hAnsi="Verdana"/>
          <w:noProof/>
        </w:rPr>
        <w:fldChar w:fldCharType="end"/>
      </w:r>
      <w:r w:rsidRPr="007A4C4C">
        <w:rPr>
          <w:rFonts w:ascii="Verdana" w:hAnsi="Verdana"/>
        </w:rPr>
        <w:t>: Calculate Weighted Scores</w:t>
      </w:r>
    </w:p>
    <w:p w14:paraId="09A1CC20" w14:textId="77777777" w:rsidR="007A4C4C" w:rsidRPr="007A4C4C" w:rsidRDefault="007A4C4C" w:rsidP="007A4C4C">
      <w:pPr>
        <w:pStyle w:val="Heading2"/>
        <w:rPr>
          <w:rFonts w:ascii="Verdana" w:hAnsi="Verdana"/>
        </w:rPr>
      </w:pPr>
      <w:r w:rsidRPr="007A4C4C">
        <w:rPr>
          <w:rFonts w:ascii="Verdana" w:hAnsi="Verdana"/>
        </w:rPr>
        <w:t>STEP 4: INVESTMENT PORTFOLIO VISUALIZATION</w:t>
      </w:r>
    </w:p>
    <w:p w14:paraId="1F20A19F" w14:textId="77777777" w:rsidR="007A4C4C" w:rsidRPr="007A4C4C" w:rsidRDefault="007A4C4C" w:rsidP="007A4C4C">
      <w:pPr>
        <w:rPr>
          <w:rFonts w:ascii="Verdana" w:hAnsi="Verdana"/>
        </w:rPr>
      </w:pPr>
      <w:r w:rsidRPr="007A4C4C">
        <w:rPr>
          <w:rFonts w:ascii="Verdana" w:hAnsi="Verdana"/>
        </w:rPr>
        <w:t>Plot each investment on a 2×2 matrix:</w:t>
      </w:r>
    </w:p>
    <w:p w14:paraId="41E51ADE" w14:textId="77777777" w:rsidR="007A4C4C" w:rsidRPr="007A4C4C" w:rsidRDefault="007A4C4C" w:rsidP="007A4C4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A4C4C">
        <w:rPr>
          <w:rFonts w:ascii="Verdana" w:hAnsi="Verdana"/>
        </w:rPr>
        <w:t>X-axis: Implementation Complexity (Low to High)</w:t>
      </w:r>
    </w:p>
    <w:p w14:paraId="0D4482C7" w14:textId="77777777" w:rsidR="007A4C4C" w:rsidRPr="007A4C4C" w:rsidRDefault="007A4C4C" w:rsidP="007A4C4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A4C4C">
        <w:rPr>
          <w:rFonts w:ascii="Verdana" w:hAnsi="Verdana"/>
        </w:rPr>
        <w:t>Y-axis: Business Value (Low to High)</w:t>
      </w:r>
    </w:p>
    <w:p w14:paraId="1859D4C0" w14:textId="77777777" w:rsidR="007A4C4C" w:rsidRPr="007A4C4C" w:rsidRDefault="007A4C4C" w:rsidP="007A4C4C">
      <w:pPr>
        <w:rPr>
          <w:rFonts w:ascii="Verdana" w:hAnsi="Verdana"/>
        </w:rPr>
      </w:pPr>
      <w:r w:rsidRPr="007A4C4C">
        <w:rPr>
          <w:rFonts w:ascii="Verdana" w:hAnsi="Verdana"/>
        </w:rPr>
        <w:t>This creates four quadrants:</w:t>
      </w:r>
    </w:p>
    <w:p w14:paraId="49439607" w14:textId="77777777" w:rsidR="007A4C4C" w:rsidRPr="007A4C4C" w:rsidRDefault="007A4C4C" w:rsidP="007A4C4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A4C4C">
        <w:rPr>
          <w:rFonts w:ascii="Verdana" w:hAnsi="Verdana"/>
        </w:rPr>
        <w:t>Quick Wins: High Value + Low Complexity</w:t>
      </w:r>
    </w:p>
    <w:p w14:paraId="40DF60F0" w14:textId="77777777" w:rsidR="007A4C4C" w:rsidRPr="007A4C4C" w:rsidRDefault="007A4C4C" w:rsidP="007A4C4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A4C4C">
        <w:rPr>
          <w:rFonts w:ascii="Verdana" w:hAnsi="Verdana"/>
        </w:rPr>
        <w:t>Strategic Projects: High Value + High Complexity</w:t>
      </w:r>
    </w:p>
    <w:p w14:paraId="54969B39" w14:textId="77777777" w:rsidR="007A4C4C" w:rsidRPr="007A4C4C" w:rsidRDefault="007A4C4C" w:rsidP="007A4C4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A4C4C">
        <w:rPr>
          <w:rFonts w:ascii="Verdana" w:hAnsi="Verdana"/>
        </w:rPr>
        <w:t>Fill-in Projects: Low Value + Low Complexity</w:t>
      </w:r>
    </w:p>
    <w:p w14:paraId="30CDB0DA" w14:textId="77777777" w:rsidR="007A4C4C" w:rsidRPr="007A4C4C" w:rsidRDefault="007A4C4C" w:rsidP="007A4C4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A4C4C">
        <w:rPr>
          <w:rFonts w:ascii="Verdana" w:hAnsi="Verdana"/>
        </w:rPr>
        <w:t>Reconsider: Low Value + High Complexity</w:t>
      </w:r>
    </w:p>
    <w:p w14:paraId="5E06582F" w14:textId="77777777" w:rsidR="007A4C4C" w:rsidRPr="007A4C4C" w:rsidRDefault="007A4C4C" w:rsidP="007A4C4C">
      <w:pPr>
        <w:pStyle w:val="Heading2"/>
        <w:rPr>
          <w:rFonts w:ascii="Verdana" w:hAnsi="Verdana"/>
        </w:rPr>
      </w:pPr>
      <w:r w:rsidRPr="007A4C4C">
        <w:rPr>
          <w:rFonts w:ascii="Verdana" w:hAnsi="Verdana"/>
        </w:rPr>
        <w:t>IMPLEMENTATION TIPS:</w:t>
      </w:r>
    </w:p>
    <w:p w14:paraId="3471FDBC" w14:textId="77777777" w:rsidR="007A4C4C" w:rsidRPr="007A4C4C" w:rsidRDefault="007A4C4C" w:rsidP="007A4C4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A4C4C">
        <w:rPr>
          <w:rFonts w:ascii="Verdana" w:hAnsi="Verdana"/>
        </w:rPr>
        <w:t>Involve cross-functional stakeholders in the scoring process to reduce bias</w:t>
      </w:r>
    </w:p>
    <w:p w14:paraId="141FD60A" w14:textId="77777777" w:rsidR="007A4C4C" w:rsidRPr="007A4C4C" w:rsidRDefault="007A4C4C" w:rsidP="007A4C4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A4C4C">
        <w:rPr>
          <w:rFonts w:ascii="Verdana" w:hAnsi="Verdana"/>
        </w:rPr>
        <w:t>Adjust criteria weighting to match current organizational priorities</w:t>
      </w:r>
    </w:p>
    <w:p w14:paraId="2462EEB6" w14:textId="77777777" w:rsidR="007A4C4C" w:rsidRPr="007A4C4C" w:rsidRDefault="007A4C4C" w:rsidP="007A4C4C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A4C4C">
        <w:rPr>
          <w:rFonts w:ascii="Verdana" w:hAnsi="Verdana"/>
        </w:rPr>
        <w:t>Review and update scores quarterly as business conditions and priorities change</w:t>
      </w:r>
    </w:p>
    <w:p w14:paraId="3D31D177" w14:textId="77777777" w:rsidR="005A3C36" w:rsidRPr="007A4C4C" w:rsidRDefault="005A3C36" w:rsidP="007A4C4C">
      <w:pPr>
        <w:rPr>
          <w:rFonts w:ascii="Verdana" w:hAnsi="Verdana"/>
        </w:rPr>
      </w:pPr>
    </w:p>
    <w:sectPr w:rsidR="005A3C36" w:rsidRPr="007A4C4C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E13DD" w14:textId="77777777" w:rsidR="00C76B00" w:rsidRDefault="00C76B00" w:rsidP="005A3C36">
      <w:pPr>
        <w:spacing w:after="0" w:line="240" w:lineRule="auto"/>
      </w:pPr>
      <w:r>
        <w:separator/>
      </w:r>
    </w:p>
  </w:endnote>
  <w:endnote w:type="continuationSeparator" w:id="0">
    <w:p w14:paraId="4096749E" w14:textId="77777777" w:rsidR="00C76B00" w:rsidRDefault="00C76B00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F2D21" w14:textId="77777777" w:rsidR="00AE3AC5" w:rsidRDefault="00AE3A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2C870" w14:textId="1B63CA35" w:rsidR="005A3C36" w:rsidRPr="005A3C36" w:rsidRDefault="00AE3AC5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2AB5B" w14:textId="77777777" w:rsidR="00AE3AC5" w:rsidRDefault="00AE3A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2807C" w14:textId="77777777" w:rsidR="00C76B00" w:rsidRDefault="00C76B00" w:rsidP="005A3C36">
      <w:pPr>
        <w:spacing w:after="0" w:line="240" w:lineRule="auto"/>
      </w:pPr>
      <w:r>
        <w:separator/>
      </w:r>
    </w:p>
  </w:footnote>
  <w:footnote w:type="continuationSeparator" w:id="0">
    <w:p w14:paraId="4F4E6709" w14:textId="77777777" w:rsidR="00C76B00" w:rsidRDefault="00C76B00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9B052" w14:textId="77777777" w:rsidR="00AE3AC5" w:rsidRDefault="00AE3A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DE98C" w14:textId="2B74EB6B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7A4C4C">
      <w:rPr>
        <w:rFonts w:ascii="Verdana" w:hAnsi="Verdana"/>
      </w:rPr>
      <w:t>5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5889A" w14:textId="77777777" w:rsidR="00AE3AC5" w:rsidRDefault="00AE3A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FC5B79"/>
    <w:multiLevelType w:val="hybridMultilevel"/>
    <w:tmpl w:val="7B642CD0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652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C4C"/>
    <w:rsid w:val="000756A1"/>
    <w:rsid w:val="002A6616"/>
    <w:rsid w:val="002B75FE"/>
    <w:rsid w:val="004B29F0"/>
    <w:rsid w:val="00543E0E"/>
    <w:rsid w:val="005A3C36"/>
    <w:rsid w:val="007A4C4C"/>
    <w:rsid w:val="007C7472"/>
    <w:rsid w:val="00921039"/>
    <w:rsid w:val="0097167D"/>
    <w:rsid w:val="00A80303"/>
    <w:rsid w:val="00AE3AC5"/>
    <w:rsid w:val="00B56A81"/>
    <w:rsid w:val="00C76B00"/>
    <w:rsid w:val="00D964DD"/>
    <w:rsid w:val="00EF110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01D64D"/>
  <w15:chartTrackingRefBased/>
  <w15:docId w15:val="{69D6B6EC-74A2-4A49-B460-859B8B8E4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4C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paragraph" w:styleId="Caption">
    <w:name w:val="caption"/>
    <w:basedOn w:val="Normal"/>
    <w:next w:val="Normal"/>
    <w:uiPriority w:val="35"/>
    <w:unhideWhenUsed/>
    <w:qFormat/>
    <w:rsid w:val="007A4C4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GridTable4">
    <w:name w:val="Grid Table 4"/>
    <w:basedOn w:val="TableNormal"/>
    <w:uiPriority w:val="49"/>
    <w:rsid w:val="007A4C4C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E3AC5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E3AC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3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>Chapter #: (NAME)</vt:lpstr>
      <vt:lpstr>Security Investment Prioritization Matrix</vt:lpstr>
      <vt:lpstr>    STEP 1: DEFINE EVALUATION CRITERIA AND WEIGHTING</vt:lpstr>
      <vt:lpstr>    STEP 2: RATE EACH INVESTMENT OPTION</vt:lpstr>
      <vt:lpstr>    STEP 3: CALCULATE WEIGHTED SCORES</vt:lpstr>
      <vt:lpstr>    STEP 4: INVESTMENT PORTFOLIO VISUALIZATION</vt:lpstr>
      <vt:lpstr>    IMPLEMENTATION TIPS:</vt:lpstr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5: Security Investment Prioritization Matrix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2</cp:revision>
  <dcterms:created xsi:type="dcterms:W3CDTF">2025-08-25T18:00:00Z</dcterms:created>
  <dcterms:modified xsi:type="dcterms:W3CDTF">2026-05-19T20:02:00Z</dcterms:modified>
</cp:coreProperties>
</file>