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D6FCC" w14:textId="77777777" w:rsidR="009A1D39" w:rsidRPr="009A1D39" w:rsidRDefault="009A1D39" w:rsidP="009A1D39">
      <w:pPr>
        <w:pStyle w:val="Heading1"/>
        <w:rPr>
          <w:rFonts w:ascii="Verdana" w:hAnsi="Verdana"/>
        </w:rPr>
      </w:pPr>
      <w:r w:rsidRPr="009A1D39">
        <w:rPr>
          <w:rFonts w:ascii="Verdana" w:hAnsi="Verdana"/>
        </w:rPr>
        <w:t>Security Value Dashboard for Executives</w:t>
      </w:r>
    </w:p>
    <w:p w14:paraId="1A86BA9B" w14:textId="77777777" w:rsidR="009A1D39" w:rsidRPr="009A1D39" w:rsidRDefault="009A1D39" w:rsidP="009A1D39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9A1D39">
        <w:rPr>
          <w:rFonts w:ascii="Verdana" w:hAnsi="Verdana"/>
          <w:b/>
          <w:bCs/>
        </w:rPr>
        <w:t>PURPOSE:</w:t>
      </w:r>
      <w:r w:rsidRPr="009A1D39">
        <w:rPr>
          <w:rFonts w:ascii="Verdana" w:hAnsi="Verdana"/>
        </w:rPr>
        <w:t xml:space="preserve"> Provides a visual framework for showcasing security's value beyond risk reduction, focusing on how security enables business growth, improves customer trust, and enhances operational efficiency.</w:t>
      </w:r>
    </w:p>
    <w:p w14:paraId="3DB18973" w14:textId="77777777" w:rsidR="009A1D39" w:rsidRPr="009A1D39" w:rsidRDefault="009A1D39" w:rsidP="009A1D39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9A1D39">
        <w:rPr>
          <w:rFonts w:ascii="Verdana" w:hAnsi="Verdana"/>
          <w:b/>
          <w:bCs/>
        </w:rPr>
        <w:t xml:space="preserve">WHEN TO USE: </w:t>
      </w:r>
      <w:r w:rsidRPr="009A1D39">
        <w:rPr>
          <w:rFonts w:ascii="Verdana" w:hAnsi="Verdana"/>
        </w:rPr>
        <w:t>For quarterly executive reviews, board presentations, or when security needs to demonstrate ongoing value to maintain funding support.</w:t>
      </w:r>
    </w:p>
    <w:p w14:paraId="5EF2E302" w14:textId="77777777" w:rsidR="009A1D39" w:rsidRPr="009A1D39" w:rsidRDefault="009A1D39" w:rsidP="009A1D39">
      <w:pPr>
        <w:pStyle w:val="Heading2"/>
        <w:rPr>
          <w:rFonts w:ascii="Verdana" w:hAnsi="Verdana"/>
        </w:rPr>
      </w:pPr>
      <w:r w:rsidRPr="009A1D39">
        <w:rPr>
          <w:rFonts w:ascii="Verdana" w:hAnsi="Verdana"/>
        </w:rPr>
        <w:t>BUSINESS ENABLEMENT METRICS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5454"/>
        <w:gridCol w:w="1415"/>
        <w:gridCol w:w="943"/>
        <w:gridCol w:w="1051"/>
        <w:gridCol w:w="1927"/>
      </w:tblGrid>
      <w:tr w:rsidR="009A1D39" w:rsidRPr="009A1D39" w14:paraId="1857B2D9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FBA296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Metric</w:t>
            </w:r>
          </w:p>
        </w:tc>
        <w:tc>
          <w:tcPr>
            <w:tcW w:w="0" w:type="auto"/>
            <w:hideMark/>
          </w:tcPr>
          <w:p w14:paraId="1E992CAF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Current Value</w:t>
            </w:r>
          </w:p>
        </w:tc>
        <w:tc>
          <w:tcPr>
            <w:tcW w:w="0" w:type="auto"/>
            <w:hideMark/>
          </w:tcPr>
          <w:p w14:paraId="75540765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Trend</w:t>
            </w:r>
          </w:p>
        </w:tc>
        <w:tc>
          <w:tcPr>
            <w:tcW w:w="0" w:type="auto"/>
            <w:hideMark/>
          </w:tcPr>
          <w:p w14:paraId="33AC9505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Target</w:t>
            </w:r>
          </w:p>
        </w:tc>
        <w:tc>
          <w:tcPr>
            <w:tcW w:w="0" w:type="auto"/>
            <w:hideMark/>
          </w:tcPr>
          <w:p w14:paraId="7EDDA6DF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Business Impact</w:t>
            </w:r>
          </w:p>
        </w:tc>
      </w:tr>
      <w:tr w:rsidR="009A1D39" w:rsidRPr="009A1D39" w14:paraId="19F527B5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74EFCB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Speed to market (Average days security review adds to product release cycles)</w:t>
            </w:r>
          </w:p>
        </w:tc>
        <w:tc>
          <w:tcPr>
            <w:tcW w:w="0" w:type="auto"/>
            <w:hideMark/>
          </w:tcPr>
          <w:p w14:paraId="5C202B17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12 days</w:t>
            </w:r>
          </w:p>
        </w:tc>
        <w:tc>
          <w:tcPr>
            <w:tcW w:w="0" w:type="auto"/>
            <w:hideMark/>
          </w:tcPr>
          <w:p w14:paraId="5922045F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↓</w:t>
            </w:r>
            <w:r w:rsidRPr="009A1D39">
              <w:rPr>
                <w:rFonts w:ascii="Verdana" w:hAnsi="Verdana"/>
              </w:rPr>
              <w:t xml:space="preserve"> -25%</w:t>
            </w:r>
          </w:p>
        </w:tc>
        <w:tc>
          <w:tcPr>
            <w:tcW w:w="0" w:type="auto"/>
            <w:hideMark/>
          </w:tcPr>
          <w:p w14:paraId="090E8363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7 days</w:t>
            </w:r>
          </w:p>
        </w:tc>
        <w:tc>
          <w:tcPr>
            <w:tcW w:w="0" w:type="auto"/>
            <w:hideMark/>
          </w:tcPr>
          <w:p w14:paraId="0CD31C66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Faster time to revenue</w:t>
            </w:r>
          </w:p>
        </w:tc>
      </w:tr>
      <w:tr w:rsidR="009A1D39" w:rsidRPr="009A1D39" w14:paraId="110EDC3D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011C80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Market expansion (Number of markets accessible due to security compliance)</w:t>
            </w:r>
          </w:p>
        </w:tc>
        <w:tc>
          <w:tcPr>
            <w:tcW w:w="0" w:type="auto"/>
            <w:hideMark/>
          </w:tcPr>
          <w:p w14:paraId="5EAF3ADB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4 regions</w:t>
            </w:r>
          </w:p>
        </w:tc>
        <w:tc>
          <w:tcPr>
            <w:tcW w:w="0" w:type="auto"/>
            <w:hideMark/>
          </w:tcPr>
          <w:p w14:paraId="0371D42E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↑</w:t>
            </w:r>
            <w:r w:rsidRPr="009A1D39">
              <w:rPr>
                <w:rFonts w:ascii="Verdana" w:hAnsi="Verdana"/>
              </w:rPr>
              <w:t xml:space="preserve"> +2</w:t>
            </w:r>
          </w:p>
        </w:tc>
        <w:tc>
          <w:tcPr>
            <w:tcW w:w="0" w:type="auto"/>
            <w:hideMark/>
          </w:tcPr>
          <w:p w14:paraId="40E59C69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8 regions</w:t>
            </w:r>
          </w:p>
        </w:tc>
        <w:tc>
          <w:tcPr>
            <w:tcW w:w="0" w:type="auto"/>
            <w:hideMark/>
          </w:tcPr>
          <w:p w14:paraId="43AE4EB9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Geographic growth</w:t>
            </w:r>
          </w:p>
        </w:tc>
      </w:tr>
      <w:tr w:rsidR="009A1D39" w:rsidRPr="009A1D39" w14:paraId="1E722C71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23B926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New business closed (Revenue from deals where security was a differentiator)</w:t>
            </w:r>
          </w:p>
        </w:tc>
        <w:tc>
          <w:tcPr>
            <w:tcW w:w="0" w:type="auto"/>
            <w:hideMark/>
          </w:tcPr>
          <w:p w14:paraId="2F82A7FE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$3.2M</w:t>
            </w:r>
          </w:p>
        </w:tc>
        <w:tc>
          <w:tcPr>
            <w:tcW w:w="0" w:type="auto"/>
            <w:hideMark/>
          </w:tcPr>
          <w:p w14:paraId="4273962A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↑</w:t>
            </w:r>
            <w:r w:rsidRPr="009A1D39">
              <w:rPr>
                <w:rFonts w:ascii="Verdana" w:hAnsi="Verdana"/>
              </w:rPr>
              <w:t xml:space="preserve"> +15%</w:t>
            </w:r>
          </w:p>
        </w:tc>
        <w:tc>
          <w:tcPr>
            <w:tcW w:w="0" w:type="auto"/>
            <w:hideMark/>
          </w:tcPr>
          <w:p w14:paraId="6754A066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$5M</w:t>
            </w:r>
          </w:p>
        </w:tc>
        <w:tc>
          <w:tcPr>
            <w:tcW w:w="0" w:type="auto"/>
            <w:hideMark/>
          </w:tcPr>
          <w:p w14:paraId="349A4C69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Direct revenue impact</w:t>
            </w:r>
          </w:p>
        </w:tc>
      </w:tr>
      <w:tr w:rsidR="009A1D39" w:rsidRPr="009A1D39" w14:paraId="21831E6D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1FABCB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Secure development velocity (% increase in secure code deployed)</w:t>
            </w:r>
          </w:p>
        </w:tc>
        <w:tc>
          <w:tcPr>
            <w:tcW w:w="0" w:type="auto"/>
            <w:hideMark/>
          </w:tcPr>
          <w:p w14:paraId="630E3BD3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22%</w:t>
            </w:r>
          </w:p>
        </w:tc>
        <w:tc>
          <w:tcPr>
            <w:tcW w:w="0" w:type="auto"/>
            <w:hideMark/>
          </w:tcPr>
          <w:p w14:paraId="3419E685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↑</w:t>
            </w:r>
            <w:r w:rsidRPr="009A1D39">
              <w:rPr>
                <w:rFonts w:ascii="Verdana" w:hAnsi="Verdana"/>
              </w:rPr>
              <w:t xml:space="preserve"> +10%</w:t>
            </w:r>
          </w:p>
        </w:tc>
        <w:tc>
          <w:tcPr>
            <w:tcW w:w="0" w:type="auto"/>
            <w:hideMark/>
          </w:tcPr>
          <w:p w14:paraId="60AD4020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30%</w:t>
            </w:r>
          </w:p>
        </w:tc>
        <w:tc>
          <w:tcPr>
            <w:tcW w:w="0" w:type="auto"/>
            <w:hideMark/>
          </w:tcPr>
          <w:p w14:paraId="7181F439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Faster feature delivery</w:t>
            </w:r>
          </w:p>
        </w:tc>
      </w:tr>
    </w:tbl>
    <w:p w14:paraId="3E330ED8" w14:textId="72891684" w:rsidR="009A1D39" w:rsidRPr="009A1D39" w:rsidRDefault="009A1D39" w:rsidP="009A1D39">
      <w:pPr>
        <w:pStyle w:val="Caption"/>
        <w:rPr>
          <w:rFonts w:ascii="Verdana" w:hAnsi="Verdana"/>
        </w:rPr>
      </w:pPr>
      <w:r w:rsidRPr="009A1D39">
        <w:rPr>
          <w:rFonts w:ascii="Verdana" w:hAnsi="Verdana"/>
        </w:rPr>
        <w:t xml:space="preserve">Table </w:t>
      </w:r>
      <w:r w:rsidRPr="009A1D39">
        <w:rPr>
          <w:rFonts w:ascii="Verdana" w:hAnsi="Verdana"/>
        </w:rPr>
        <w:fldChar w:fldCharType="begin"/>
      </w:r>
      <w:r w:rsidRPr="009A1D39">
        <w:rPr>
          <w:rFonts w:ascii="Verdana" w:hAnsi="Verdana"/>
        </w:rPr>
        <w:instrText xml:space="preserve"> SEQ Table \* ARABIC </w:instrText>
      </w:r>
      <w:r w:rsidRPr="009A1D39">
        <w:rPr>
          <w:rFonts w:ascii="Verdana" w:hAnsi="Verdana"/>
        </w:rPr>
        <w:fldChar w:fldCharType="separate"/>
      </w:r>
      <w:r w:rsidRPr="009A1D39">
        <w:rPr>
          <w:rFonts w:ascii="Verdana" w:hAnsi="Verdana"/>
          <w:noProof/>
        </w:rPr>
        <w:t>1</w:t>
      </w:r>
      <w:r w:rsidRPr="009A1D39">
        <w:rPr>
          <w:rFonts w:ascii="Verdana" w:hAnsi="Verdana"/>
          <w:noProof/>
        </w:rPr>
        <w:fldChar w:fldCharType="end"/>
      </w:r>
      <w:r w:rsidRPr="009A1D39">
        <w:rPr>
          <w:rFonts w:ascii="Verdana" w:hAnsi="Verdana"/>
        </w:rPr>
        <w:t>: Business Enablement Metrics</w:t>
      </w:r>
    </w:p>
    <w:p w14:paraId="47CD46BD" w14:textId="77777777" w:rsidR="009A1D39" w:rsidRPr="009A1D39" w:rsidRDefault="009A1D39" w:rsidP="009A1D39">
      <w:pPr>
        <w:pStyle w:val="Heading2"/>
        <w:rPr>
          <w:rFonts w:ascii="Verdana" w:hAnsi="Verdana"/>
        </w:rPr>
      </w:pPr>
      <w:r w:rsidRPr="009A1D39">
        <w:rPr>
          <w:rFonts w:ascii="Verdana" w:hAnsi="Verdana"/>
        </w:rPr>
        <w:t>CUSTOMER TRUST &amp; RETENTION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5500"/>
        <w:gridCol w:w="1442"/>
        <w:gridCol w:w="949"/>
        <w:gridCol w:w="1145"/>
        <w:gridCol w:w="1754"/>
      </w:tblGrid>
      <w:tr w:rsidR="009A1D39" w:rsidRPr="009A1D39" w14:paraId="125B0E5D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1FAB6F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Metric</w:t>
            </w:r>
          </w:p>
        </w:tc>
        <w:tc>
          <w:tcPr>
            <w:tcW w:w="0" w:type="auto"/>
            <w:hideMark/>
          </w:tcPr>
          <w:p w14:paraId="3F0094F2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Current Value</w:t>
            </w:r>
          </w:p>
        </w:tc>
        <w:tc>
          <w:tcPr>
            <w:tcW w:w="0" w:type="auto"/>
            <w:hideMark/>
          </w:tcPr>
          <w:p w14:paraId="145ED6AB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Trend</w:t>
            </w:r>
          </w:p>
        </w:tc>
        <w:tc>
          <w:tcPr>
            <w:tcW w:w="0" w:type="auto"/>
            <w:hideMark/>
          </w:tcPr>
          <w:p w14:paraId="155E0DEE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Target</w:t>
            </w:r>
          </w:p>
        </w:tc>
        <w:tc>
          <w:tcPr>
            <w:tcW w:w="0" w:type="auto"/>
            <w:hideMark/>
          </w:tcPr>
          <w:p w14:paraId="54491297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Business Impact</w:t>
            </w:r>
          </w:p>
        </w:tc>
      </w:tr>
      <w:tr w:rsidR="009A1D39" w:rsidRPr="009A1D39" w14:paraId="26BC5B72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42C1A7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NPS impact (Attribution to security features in customer satisfaction)</w:t>
            </w:r>
          </w:p>
        </w:tc>
        <w:tc>
          <w:tcPr>
            <w:tcW w:w="0" w:type="auto"/>
            <w:hideMark/>
          </w:tcPr>
          <w:p w14:paraId="7E0C0286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+8 points</w:t>
            </w:r>
          </w:p>
        </w:tc>
        <w:tc>
          <w:tcPr>
            <w:tcW w:w="0" w:type="auto"/>
            <w:hideMark/>
          </w:tcPr>
          <w:p w14:paraId="2DC9CD3C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↑</w:t>
            </w:r>
            <w:r w:rsidRPr="009A1D39">
              <w:rPr>
                <w:rFonts w:ascii="Verdana" w:hAnsi="Verdana"/>
              </w:rPr>
              <w:t xml:space="preserve"> +3</w:t>
            </w:r>
          </w:p>
        </w:tc>
        <w:tc>
          <w:tcPr>
            <w:tcW w:w="0" w:type="auto"/>
            <w:hideMark/>
          </w:tcPr>
          <w:p w14:paraId="31D348B2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+10 points</w:t>
            </w:r>
          </w:p>
        </w:tc>
        <w:tc>
          <w:tcPr>
            <w:tcW w:w="0" w:type="auto"/>
            <w:hideMark/>
          </w:tcPr>
          <w:p w14:paraId="11989C99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Customer loyalty</w:t>
            </w:r>
          </w:p>
        </w:tc>
      </w:tr>
      <w:tr w:rsidR="009A1D39" w:rsidRPr="009A1D39" w14:paraId="3F2DDC5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0CF14B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Security confidence score (Customer survey rating on security trust)</w:t>
            </w:r>
          </w:p>
        </w:tc>
        <w:tc>
          <w:tcPr>
            <w:tcW w:w="0" w:type="auto"/>
            <w:hideMark/>
          </w:tcPr>
          <w:p w14:paraId="42918BA9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76/100</w:t>
            </w:r>
          </w:p>
        </w:tc>
        <w:tc>
          <w:tcPr>
            <w:tcW w:w="0" w:type="auto"/>
            <w:hideMark/>
          </w:tcPr>
          <w:p w14:paraId="64A79BD3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↑</w:t>
            </w:r>
            <w:r w:rsidRPr="009A1D39">
              <w:rPr>
                <w:rFonts w:ascii="Verdana" w:hAnsi="Verdana"/>
              </w:rPr>
              <w:t xml:space="preserve"> +5</w:t>
            </w:r>
          </w:p>
        </w:tc>
        <w:tc>
          <w:tcPr>
            <w:tcW w:w="0" w:type="auto"/>
            <w:hideMark/>
          </w:tcPr>
          <w:p w14:paraId="0D11C7CB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85/100</w:t>
            </w:r>
          </w:p>
        </w:tc>
        <w:tc>
          <w:tcPr>
            <w:tcW w:w="0" w:type="auto"/>
            <w:hideMark/>
          </w:tcPr>
          <w:p w14:paraId="7E2A7DED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Reduced churn</w:t>
            </w:r>
          </w:p>
        </w:tc>
      </w:tr>
      <w:tr w:rsidR="009A1D39" w:rsidRPr="009A1D39" w14:paraId="6D3364C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6BD1F2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Security feature adoption (% of customers using premium security features)</w:t>
            </w:r>
          </w:p>
        </w:tc>
        <w:tc>
          <w:tcPr>
            <w:tcW w:w="0" w:type="auto"/>
            <w:hideMark/>
          </w:tcPr>
          <w:p w14:paraId="0C621BEA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34%</w:t>
            </w:r>
          </w:p>
        </w:tc>
        <w:tc>
          <w:tcPr>
            <w:tcW w:w="0" w:type="auto"/>
            <w:hideMark/>
          </w:tcPr>
          <w:p w14:paraId="2AD5A22C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↑</w:t>
            </w:r>
            <w:r w:rsidRPr="009A1D39">
              <w:rPr>
                <w:rFonts w:ascii="Verdana" w:hAnsi="Verdana"/>
              </w:rPr>
              <w:t xml:space="preserve"> +12%</w:t>
            </w:r>
          </w:p>
        </w:tc>
        <w:tc>
          <w:tcPr>
            <w:tcW w:w="0" w:type="auto"/>
            <w:hideMark/>
          </w:tcPr>
          <w:p w14:paraId="60BB345F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50%</w:t>
            </w:r>
          </w:p>
        </w:tc>
        <w:tc>
          <w:tcPr>
            <w:tcW w:w="0" w:type="auto"/>
            <w:hideMark/>
          </w:tcPr>
          <w:p w14:paraId="08D4F7CF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Upsell opportunity</w:t>
            </w:r>
          </w:p>
        </w:tc>
      </w:tr>
    </w:tbl>
    <w:p w14:paraId="67AD7F41" w14:textId="7B9BB8F3" w:rsidR="009A1D39" w:rsidRPr="009A1D39" w:rsidRDefault="009A1D39" w:rsidP="009A1D39">
      <w:pPr>
        <w:pStyle w:val="Caption"/>
        <w:rPr>
          <w:rFonts w:ascii="Verdana" w:hAnsi="Verdana"/>
        </w:rPr>
      </w:pPr>
      <w:r w:rsidRPr="009A1D39">
        <w:rPr>
          <w:rFonts w:ascii="Verdana" w:hAnsi="Verdana"/>
        </w:rPr>
        <w:t xml:space="preserve">Table </w:t>
      </w:r>
      <w:r w:rsidRPr="009A1D39">
        <w:rPr>
          <w:rFonts w:ascii="Verdana" w:hAnsi="Verdana"/>
        </w:rPr>
        <w:fldChar w:fldCharType="begin"/>
      </w:r>
      <w:r w:rsidRPr="009A1D39">
        <w:rPr>
          <w:rFonts w:ascii="Verdana" w:hAnsi="Verdana"/>
        </w:rPr>
        <w:instrText xml:space="preserve"> SEQ Table \* ARABIC </w:instrText>
      </w:r>
      <w:r w:rsidRPr="009A1D39">
        <w:rPr>
          <w:rFonts w:ascii="Verdana" w:hAnsi="Verdana"/>
        </w:rPr>
        <w:fldChar w:fldCharType="separate"/>
      </w:r>
      <w:r w:rsidRPr="009A1D39">
        <w:rPr>
          <w:rFonts w:ascii="Verdana" w:hAnsi="Verdana"/>
          <w:noProof/>
        </w:rPr>
        <w:t>2</w:t>
      </w:r>
      <w:r w:rsidRPr="009A1D39">
        <w:rPr>
          <w:rFonts w:ascii="Verdana" w:hAnsi="Verdana"/>
          <w:noProof/>
        </w:rPr>
        <w:fldChar w:fldCharType="end"/>
      </w:r>
      <w:r w:rsidRPr="009A1D39">
        <w:rPr>
          <w:rFonts w:ascii="Verdana" w:hAnsi="Verdana"/>
        </w:rPr>
        <w:t>: Customer Trust &amp; Retention</w:t>
      </w:r>
    </w:p>
    <w:p w14:paraId="05F7C88B" w14:textId="77777777" w:rsidR="009A1D39" w:rsidRPr="009A1D39" w:rsidRDefault="009A1D39" w:rsidP="009A1D39">
      <w:pPr>
        <w:pStyle w:val="Heading2"/>
        <w:rPr>
          <w:rFonts w:ascii="Verdana" w:hAnsi="Verdana"/>
        </w:rPr>
      </w:pPr>
      <w:r w:rsidRPr="009A1D39">
        <w:rPr>
          <w:rFonts w:ascii="Verdana" w:hAnsi="Verdana"/>
        </w:rPr>
        <w:t>OPERATIONAL EFFICIENCY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5205"/>
        <w:gridCol w:w="1494"/>
        <w:gridCol w:w="960"/>
        <w:gridCol w:w="1044"/>
        <w:gridCol w:w="2087"/>
      </w:tblGrid>
      <w:tr w:rsidR="009A1D39" w:rsidRPr="009A1D39" w14:paraId="3A039AC3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D52D81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Metric</w:t>
            </w:r>
          </w:p>
        </w:tc>
        <w:tc>
          <w:tcPr>
            <w:tcW w:w="0" w:type="auto"/>
            <w:hideMark/>
          </w:tcPr>
          <w:p w14:paraId="463F5966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Current Value</w:t>
            </w:r>
          </w:p>
        </w:tc>
        <w:tc>
          <w:tcPr>
            <w:tcW w:w="0" w:type="auto"/>
            <w:hideMark/>
          </w:tcPr>
          <w:p w14:paraId="075565FD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Trend</w:t>
            </w:r>
          </w:p>
        </w:tc>
        <w:tc>
          <w:tcPr>
            <w:tcW w:w="0" w:type="auto"/>
            <w:hideMark/>
          </w:tcPr>
          <w:p w14:paraId="72365CC5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Target</w:t>
            </w:r>
          </w:p>
        </w:tc>
        <w:tc>
          <w:tcPr>
            <w:tcW w:w="0" w:type="auto"/>
            <w:hideMark/>
          </w:tcPr>
          <w:p w14:paraId="2A91E4CF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Business Impact</w:t>
            </w:r>
          </w:p>
        </w:tc>
      </w:tr>
      <w:tr w:rsidR="009A1D39" w:rsidRPr="009A1D39" w14:paraId="0D967255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550235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MTTR (Mean time to resolve security incidents)</w:t>
            </w:r>
          </w:p>
        </w:tc>
        <w:tc>
          <w:tcPr>
            <w:tcW w:w="0" w:type="auto"/>
            <w:hideMark/>
          </w:tcPr>
          <w:p w14:paraId="53427D26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18 hours</w:t>
            </w:r>
          </w:p>
        </w:tc>
        <w:tc>
          <w:tcPr>
            <w:tcW w:w="0" w:type="auto"/>
            <w:hideMark/>
          </w:tcPr>
          <w:p w14:paraId="38C8091A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↓</w:t>
            </w:r>
            <w:r w:rsidRPr="009A1D39">
              <w:rPr>
                <w:rFonts w:ascii="Verdana" w:hAnsi="Verdana"/>
              </w:rPr>
              <w:t xml:space="preserve"> -22%</w:t>
            </w:r>
          </w:p>
        </w:tc>
        <w:tc>
          <w:tcPr>
            <w:tcW w:w="0" w:type="auto"/>
            <w:hideMark/>
          </w:tcPr>
          <w:p w14:paraId="6D11EC4E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12 hours</w:t>
            </w:r>
          </w:p>
        </w:tc>
        <w:tc>
          <w:tcPr>
            <w:tcW w:w="0" w:type="auto"/>
            <w:hideMark/>
          </w:tcPr>
          <w:p w14:paraId="63A35F93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Reduced downtime</w:t>
            </w:r>
          </w:p>
        </w:tc>
      </w:tr>
      <w:tr w:rsidR="009A1D39" w:rsidRPr="009A1D39" w14:paraId="10684F57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ACD7E1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Automated security tasks (% of security workflows automated)</w:t>
            </w:r>
          </w:p>
        </w:tc>
        <w:tc>
          <w:tcPr>
            <w:tcW w:w="0" w:type="auto"/>
            <w:hideMark/>
          </w:tcPr>
          <w:p w14:paraId="04E2CB01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42%</w:t>
            </w:r>
          </w:p>
        </w:tc>
        <w:tc>
          <w:tcPr>
            <w:tcW w:w="0" w:type="auto"/>
            <w:hideMark/>
          </w:tcPr>
          <w:p w14:paraId="0B9286EF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↑</w:t>
            </w:r>
            <w:r w:rsidRPr="009A1D39">
              <w:rPr>
                <w:rFonts w:ascii="Verdana" w:hAnsi="Verdana"/>
              </w:rPr>
              <w:t xml:space="preserve"> +15%</w:t>
            </w:r>
          </w:p>
        </w:tc>
        <w:tc>
          <w:tcPr>
            <w:tcW w:w="0" w:type="auto"/>
            <w:hideMark/>
          </w:tcPr>
          <w:p w14:paraId="0F4F40B1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60%</w:t>
            </w:r>
          </w:p>
        </w:tc>
        <w:tc>
          <w:tcPr>
            <w:tcW w:w="0" w:type="auto"/>
            <w:hideMark/>
          </w:tcPr>
          <w:p w14:paraId="6E716CD0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Resource optimization</w:t>
            </w:r>
          </w:p>
        </w:tc>
      </w:tr>
      <w:tr w:rsidR="009A1D39" w:rsidRPr="009A1D39" w14:paraId="3F21FAF1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B8861D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Shadow IT reduction (% decrease in unauthorized applications)</w:t>
            </w:r>
          </w:p>
        </w:tc>
        <w:tc>
          <w:tcPr>
            <w:tcW w:w="0" w:type="auto"/>
            <w:hideMark/>
          </w:tcPr>
          <w:p w14:paraId="1DFDC148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35%</w:t>
            </w:r>
          </w:p>
        </w:tc>
        <w:tc>
          <w:tcPr>
            <w:tcW w:w="0" w:type="auto"/>
            <w:hideMark/>
          </w:tcPr>
          <w:p w14:paraId="2AECAA38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↑</w:t>
            </w:r>
            <w:r w:rsidRPr="009A1D39">
              <w:rPr>
                <w:rFonts w:ascii="Verdana" w:hAnsi="Verdana"/>
              </w:rPr>
              <w:t xml:space="preserve"> +20%</w:t>
            </w:r>
          </w:p>
        </w:tc>
        <w:tc>
          <w:tcPr>
            <w:tcW w:w="0" w:type="auto"/>
            <w:hideMark/>
          </w:tcPr>
          <w:p w14:paraId="544AEF9F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60%</w:t>
            </w:r>
          </w:p>
        </w:tc>
        <w:tc>
          <w:tcPr>
            <w:tcW w:w="0" w:type="auto"/>
            <w:hideMark/>
          </w:tcPr>
          <w:p w14:paraId="59D79953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Reduced support costs</w:t>
            </w:r>
          </w:p>
        </w:tc>
      </w:tr>
    </w:tbl>
    <w:p w14:paraId="15A4B7B6" w14:textId="460C40C8" w:rsidR="009A1D39" w:rsidRPr="009A1D39" w:rsidRDefault="009A1D39" w:rsidP="009A1D39">
      <w:pPr>
        <w:pStyle w:val="Caption"/>
        <w:rPr>
          <w:rFonts w:ascii="Verdana" w:hAnsi="Verdana"/>
        </w:rPr>
      </w:pPr>
      <w:r w:rsidRPr="009A1D39">
        <w:rPr>
          <w:rFonts w:ascii="Verdana" w:hAnsi="Verdana"/>
        </w:rPr>
        <w:t xml:space="preserve">Table </w:t>
      </w:r>
      <w:r w:rsidRPr="009A1D39">
        <w:rPr>
          <w:rFonts w:ascii="Verdana" w:hAnsi="Verdana"/>
        </w:rPr>
        <w:fldChar w:fldCharType="begin"/>
      </w:r>
      <w:r w:rsidRPr="009A1D39">
        <w:rPr>
          <w:rFonts w:ascii="Verdana" w:hAnsi="Verdana"/>
        </w:rPr>
        <w:instrText xml:space="preserve"> SEQ Table \* ARABIC </w:instrText>
      </w:r>
      <w:r w:rsidRPr="009A1D39">
        <w:rPr>
          <w:rFonts w:ascii="Verdana" w:hAnsi="Verdana"/>
        </w:rPr>
        <w:fldChar w:fldCharType="separate"/>
      </w:r>
      <w:r w:rsidRPr="009A1D39">
        <w:rPr>
          <w:rFonts w:ascii="Verdana" w:hAnsi="Verdana"/>
          <w:noProof/>
        </w:rPr>
        <w:t>3</w:t>
      </w:r>
      <w:r w:rsidRPr="009A1D39">
        <w:rPr>
          <w:rFonts w:ascii="Verdana" w:hAnsi="Verdana"/>
          <w:noProof/>
        </w:rPr>
        <w:fldChar w:fldCharType="end"/>
      </w:r>
      <w:r w:rsidRPr="009A1D39">
        <w:rPr>
          <w:rFonts w:ascii="Verdana" w:hAnsi="Verdana"/>
        </w:rPr>
        <w:t>: Operational Efficiency</w:t>
      </w:r>
    </w:p>
    <w:p w14:paraId="6B287185" w14:textId="77777777" w:rsidR="009A1D39" w:rsidRPr="009A1D39" w:rsidRDefault="009A1D39" w:rsidP="009A1D39">
      <w:pPr>
        <w:pStyle w:val="Heading2"/>
        <w:rPr>
          <w:rFonts w:ascii="Verdana" w:hAnsi="Verdana"/>
        </w:rPr>
      </w:pPr>
      <w:r w:rsidRPr="009A1D39">
        <w:rPr>
          <w:rFonts w:ascii="Verdana" w:hAnsi="Verdana"/>
        </w:rPr>
        <w:t>COMPLIANCE &amp; GOVERNANCE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5199"/>
        <w:gridCol w:w="1491"/>
        <w:gridCol w:w="915"/>
        <w:gridCol w:w="1121"/>
        <w:gridCol w:w="2064"/>
      </w:tblGrid>
      <w:tr w:rsidR="009A1D39" w:rsidRPr="009A1D39" w14:paraId="04C7FC21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97E232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Metric</w:t>
            </w:r>
          </w:p>
        </w:tc>
        <w:tc>
          <w:tcPr>
            <w:tcW w:w="0" w:type="auto"/>
            <w:hideMark/>
          </w:tcPr>
          <w:p w14:paraId="22CD5AC7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Current Value</w:t>
            </w:r>
          </w:p>
        </w:tc>
        <w:tc>
          <w:tcPr>
            <w:tcW w:w="0" w:type="auto"/>
            <w:hideMark/>
          </w:tcPr>
          <w:p w14:paraId="3B204A20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Trend</w:t>
            </w:r>
          </w:p>
        </w:tc>
        <w:tc>
          <w:tcPr>
            <w:tcW w:w="0" w:type="auto"/>
            <w:hideMark/>
          </w:tcPr>
          <w:p w14:paraId="60C8928D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Target</w:t>
            </w:r>
          </w:p>
        </w:tc>
        <w:tc>
          <w:tcPr>
            <w:tcW w:w="0" w:type="auto"/>
            <w:hideMark/>
          </w:tcPr>
          <w:p w14:paraId="09AB1EC4" w14:textId="77777777" w:rsidR="009A1D39" w:rsidRPr="009A1D39" w:rsidRDefault="009A1D39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Business Impact</w:t>
            </w:r>
          </w:p>
        </w:tc>
      </w:tr>
      <w:tr w:rsidR="009A1D39" w:rsidRPr="009A1D39" w14:paraId="72150C1F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2036F0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lastRenderedPageBreak/>
              <w:t>Audit efficiency (Hours spent responding to audits)</w:t>
            </w:r>
          </w:p>
        </w:tc>
        <w:tc>
          <w:tcPr>
            <w:tcW w:w="0" w:type="auto"/>
            <w:hideMark/>
          </w:tcPr>
          <w:p w14:paraId="79E84A75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840 hours</w:t>
            </w:r>
          </w:p>
        </w:tc>
        <w:tc>
          <w:tcPr>
            <w:tcW w:w="0" w:type="auto"/>
            <w:hideMark/>
          </w:tcPr>
          <w:p w14:paraId="5F7D7053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↓</w:t>
            </w:r>
            <w:r w:rsidRPr="009A1D39">
              <w:rPr>
                <w:rFonts w:ascii="Verdana" w:hAnsi="Verdana"/>
              </w:rPr>
              <w:t xml:space="preserve"> -30%</w:t>
            </w:r>
          </w:p>
        </w:tc>
        <w:tc>
          <w:tcPr>
            <w:tcW w:w="0" w:type="auto"/>
            <w:hideMark/>
          </w:tcPr>
          <w:p w14:paraId="6A4B09E0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500 hours</w:t>
            </w:r>
          </w:p>
        </w:tc>
        <w:tc>
          <w:tcPr>
            <w:tcW w:w="0" w:type="auto"/>
            <w:hideMark/>
          </w:tcPr>
          <w:p w14:paraId="5BC6BB87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Productivity gain</w:t>
            </w:r>
          </w:p>
        </w:tc>
      </w:tr>
      <w:tr w:rsidR="009A1D39" w:rsidRPr="009A1D39" w14:paraId="625C9A4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7EF88D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Policy exception rate (% of systems requiring exceptions)</w:t>
            </w:r>
          </w:p>
        </w:tc>
        <w:tc>
          <w:tcPr>
            <w:tcW w:w="0" w:type="auto"/>
            <w:hideMark/>
          </w:tcPr>
          <w:p w14:paraId="1E11F34B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15%</w:t>
            </w:r>
          </w:p>
        </w:tc>
        <w:tc>
          <w:tcPr>
            <w:tcW w:w="0" w:type="auto"/>
            <w:hideMark/>
          </w:tcPr>
          <w:p w14:paraId="31AF5552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↓</w:t>
            </w:r>
            <w:r w:rsidRPr="009A1D39">
              <w:rPr>
                <w:rFonts w:ascii="Verdana" w:hAnsi="Verdana"/>
              </w:rPr>
              <w:t xml:space="preserve"> -5%</w:t>
            </w:r>
          </w:p>
        </w:tc>
        <w:tc>
          <w:tcPr>
            <w:tcW w:w="0" w:type="auto"/>
            <w:hideMark/>
          </w:tcPr>
          <w:p w14:paraId="2E68F2CC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5%</w:t>
            </w:r>
          </w:p>
        </w:tc>
        <w:tc>
          <w:tcPr>
            <w:tcW w:w="0" w:type="auto"/>
            <w:hideMark/>
          </w:tcPr>
          <w:p w14:paraId="0B3744F1" w14:textId="77777777" w:rsidR="009A1D39" w:rsidRPr="009A1D39" w:rsidRDefault="009A1D39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Reduced risk exposure</w:t>
            </w:r>
          </w:p>
        </w:tc>
      </w:tr>
      <w:tr w:rsidR="009A1D39" w:rsidRPr="009A1D39" w14:paraId="2E99E1C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988A7D" w14:textId="77777777" w:rsidR="009A1D39" w:rsidRPr="009A1D39" w:rsidRDefault="009A1D39" w:rsidP="005C3B97">
            <w:pPr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Time to certification (Days to achieve compliance certifications)</w:t>
            </w:r>
          </w:p>
        </w:tc>
        <w:tc>
          <w:tcPr>
            <w:tcW w:w="0" w:type="auto"/>
            <w:hideMark/>
          </w:tcPr>
          <w:p w14:paraId="1805A352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90 days</w:t>
            </w:r>
          </w:p>
        </w:tc>
        <w:tc>
          <w:tcPr>
            <w:tcW w:w="0" w:type="auto"/>
            <w:hideMark/>
          </w:tcPr>
          <w:p w14:paraId="2B574653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Arial" w:hAnsi="Arial" w:cs="Arial"/>
              </w:rPr>
              <w:t>↓</w:t>
            </w:r>
            <w:r w:rsidRPr="009A1D39">
              <w:rPr>
                <w:rFonts w:ascii="Verdana" w:hAnsi="Verdana"/>
              </w:rPr>
              <w:t xml:space="preserve"> -22%</w:t>
            </w:r>
          </w:p>
        </w:tc>
        <w:tc>
          <w:tcPr>
            <w:tcW w:w="0" w:type="auto"/>
            <w:hideMark/>
          </w:tcPr>
          <w:p w14:paraId="4E31A735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60 days</w:t>
            </w:r>
          </w:p>
        </w:tc>
        <w:tc>
          <w:tcPr>
            <w:tcW w:w="0" w:type="auto"/>
            <w:hideMark/>
          </w:tcPr>
          <w:p w14:paraId="61E879EA" w14:textId="77777777" w:rsidR="009A1D39" w:rsidRPr="009A1D39" w:rsidRDefault="009A1D39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A1D39">
              <w:rPr>
                <w:rFonts w:ascii="Verdana" w:hAnsi="Verdana"/>
              </w:rPr>
              <w:t>Faster market entry</w:t>
            </w:r>
          </w:p>
        </w:tc>
      </w:tr>
    </w:tbl>
    <w:p w14:paraId="60781624" w14:textId="4173AECF" w:rsidR="009A1D39" w:rsidRPr="009A1D39" w:rsidRDefault="009A1D39" w:rsidP="009A1D39">
      <w:pPr>
        <w:pStyle w:val="Caption"/>
        <w:rPr>
          <w:rFonts w:ascii="Verdana" w:hAnsi="Verdana"/>
        </w:rPr>
      </w:pPr>
      <w:r w:rsidRPr="009A1D39">
        <w:rPr>
          <w:rFonts w:ascii="Verdana" w:hAnsi="Verdana"/>
        </w:rPr>
        <w:t xml:space="preserve">Table </w:t>
      </w:r>
      <w:r w:rsidRPr="009A1D39">
        <w:rPr>
          <w:rFonts w:ascii="Verdana" w:hAnsi="Verdana"/>
        </w:rPr>
        <w:fldChar w:fldCharType="begin"/>
      </w:r>
      <w:r w:rsidRPr="009A1D39">
        <w:rPr>
          <w:rFonts w:ascii="Verdana" w:hAnsi="Verdana"/>
        </w:rPr>
        <w:instrText xml:space="preserve"> SEQ Table \* ARABIC </w:instrText>
      </w:r>
      <w:r w:rsidRPr="009A1D39">
        <w:rPr>
          <w:rFonts w:ascii="Verdana" w:hAnsi="Verdana"/>
        </w:rPr>
        <w:fldChar w:fldCharType="separate"/>
      </w:r>
      <w:r w:rsidRPr="009A1D39">
        <w:rPr>
          <w:rFonts w:ascii="Verdana" w:hAnsi="Verdana"/>
          <w:noProof/>
        </w:rPr>
        <w:t>4</w:t>
      </w:r>
      <w:r w:rsidRPr="009A1D39">
        <w:rPr>
          <w:rFonts w:ascii="Verdana" w:hAnsi="Verdana"/>
          <w:noProof/>
        </w:rPr>
        <w:fldChar w:fldCharType="end"/>
      </w:r>
      <w:r w:rsidRPr="009A1D39">
        <w:rPr>
          <w:rFonts w:ascii="Verdana" w:hAnsi="Verdana"/>
        </w:rPr>
        <w:t>: Compliance &amp; Governance</w:t>
      </w:r>
    </w:p>
    <w:p w14:paraId="79F64468" w14:textId="77777777" w:rsidR="009A1D39" w:rsidRPr="009A1D39" w:rsidRDefault="009A1D39" w:rsidP="009A1D39">
      <w:pPr>
        <w:pStyle w:val="Heading2"/>
        <w:rPr>
          <w:rFonts w:ascii="Verdana" w:hAnsi="Verdana"/>
        </w:rPr>
      </w:pPr>
      <w:r w:rsidRPr="009A1D39">
        <w:rPr>
          <w:rFonts w:ascii="Verdana" w:hAnsi="Verdana"/>
        </w:rPr>
        <w:t>IMPLEMENTATION TIPS:</w:t>
      </w:r>
    </w:p>
    <w:p w14:paraId="77AB481B" w14:textId="77777777" w:rsidR="009A1D39" w:rsidRPr="009A1D39" w:rsidRDefault="009A1D39" w:rsidP="009A1D39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9A1D39">
        <w:rPr>
          <w:rFonts w:ascii="Verdana" w:hAnsi="Verdana"/>
        </w:rPr>
        <w:t>Start with metrics you can reliably gather now, then expand as your measurement capabilities mature</w:t>
      </w:r>
    </w:p>
    <w:p w14:paraId="00FA3D9B" w14:textId="77777777" w:rsidR="009A1D39" w:rsidRPr="009A1D39" w:rsidRDefault="009A1D39" w:rsidP="009A1D39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9A1D39">
        <w:rPr>
          <w:rFonts w:ascii="Verdana" w:hAnsi="Verdana"/>
        </w:rPr>
        <w:t>Customize metrics to align with your organization's specific business priorities and language</w:t>
      </w:r>
    </w:p>
    <w:p w14:paraId="1B1A1849" w14:textId="77777777" w:rsidR="009A1D39" w:rsidRPr="009A1D39" w:rsidRDefault="009A1D39" w:rsidP="009A1D39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9A1D39">
        <w:rPr>
          <w:rFonts w:ascii="Verdana" w:hAnsi="Verdana"/>
        </w:rPr>
        <w:t>Include clear trend indicators to demonstrate improvement over time</w:t>
      </w:r>
    </w:p>
    <w:p w14:paraId="2898B773" w14:textId="77777777" w:rsidR="005A3C36" w:rsidRPr="009A1D39" w:rsidRDefault="005A3C36" w:rsidP="009A1D39">
      <w:pPr>
        <w:rPr>
          <w:rFonts w:ascii="Verdana" w:hAnsi="Verdana"/>
        </w:rPr>
      </w:pPr>
    </w:p>
    <w:sectPr w:rsidR="005A3C36" w:rsidRPr="009A1D39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6BD0" w14:textId="77777777" w:rsidR="004822E9" w:rsidRDefault="004822E9" w:rsidP="005A3C36">
      <w:pPr>
        <w:spacing w:after="0" w:line="240" w:lineRule="auto"/>
      </w:pPr>
      <w:r>
        <w:separator/>
      </w:r>
    </w:p>
  </w:endnote>
  <w:endnote w:type="continuationSeparator" w:id="0">
    <w:p w14:paraId="2E7B6A19" w14:textId="77777777" w:rsidR="004822E9" w:rsidRDefault="004822E9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32547" w14:textId="77777777" w:rsidR="0074303E" w:rsidRDefault="007430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C16C2" w14:textId="1144B6BB" w:rsidR="005A3C36" w:rsidRPr="005A3C36" w:rsidRDefault="0074303E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D5DF" w14:textId="77777777" w:rsidR="0074303E" w:rsidRDefault="00743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37F5D" w14:textId="77777777" w:rsidR="004822E9" w:rsidRDefault="004822E9" w:rsidP="005A3C36">
      <w:pPr>
        <w:spacing w:after="0" w:line="240" w:lineRule="auto"/>
      </w:pPr>
      <w:r>
        <w:separator/>
      </w:r>
    </w:p>
  </w:footnote>
  <w:footnote w:type="continuationSeparator" w:id="0">
    <w:p w14:paraId="45923E49" w14:textId="77777777" w:rsidR="004822E9" w:rsidRDefault="004822E9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E081F" w14:textId="77777777" w:rsidR="0074303E" w:rsidRDefault="007430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90240" w14:textId="4FD5CA07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9A1D39">
      <w:rPr>
        <w:rFonts w:ascii="Verdana" w:hAnsi="Verdana"/>
      </w:rPr>
      <w:t>5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56C54" w14:textId="77777777" w:rsidR="0074303E" w:rsidRDefault="007430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39"/>
    <w:rsid w:val="000756A1"/>
    <w:rsid w:val="002A6616"/>
    <w:rsid w:val="002B75FE"/>
    <w:rsid w:val="003E4649"/>
    <w:rsid w:val="004822E9"/>
    <w:rsid w:val="004B29F0"/>
    <w:rsid w:val="00543E0E"/>
    <w:rsid w:val="005A3C36"/>
    <w:rsid w:val="0074303E"/>
    <w:rsid w:val="007C7472"/>
    <w:rsid w:val="00857599"/>
    <w:rsid w:val="0097167D"/>
    <w:rsid w:val="009A1D39"/>
    <w:rsid w:val="00A80303"/>
    <w:rsid w:val="00B56A8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A32B9"/>
  <w15:chartTrackingRefBased/>
  <w15:docId w15:val="{82CCBFC0-FAFA-4633-B7BB-4FC28B14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D39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9A1D3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9A1D3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303E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03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Chapter #: (NAME)</vt:lpstr>
      <vt:lpstr>Security Value Dashboard for Executives</vt:lpstr>
      <vt:lpstr>    BUSINESS ENABLEMENT METRICS</vt:lpstr>
      <vt:lpstr>    CUSTOMER TRUST &amp; RETENTION</vt:lpstr>
      <vt:lpstr>    OPERATIONAL EFFICIENCY</vt:lpstr>
      <vt:lpstr>    COMPLIANCE &amp; GOVERNANCE</vt:lpstr>
      <vt:lpstr>    IMPLEMENTATION TIPS:</vt:lpstr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5: Security Value Dashboard for Executives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2025-08-25T17:57:00Z</dcterms:created>
  <dcterms:modified xsi:type="dcterms:W3CDTF">2026-05-19T20:02:00Z</dcterms:modified>
</cp:coreProperties>
</file>