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76CC" w14:textId="77777777" w:rsidR="002014C6" w:rsidRPr="002014C6" w:rsidRDefault="002014C6" w:rsidP="002014C6">
      <w:pPr>
        <w:pStyle w:val="Heading1"/>
        <w:rPr>
          <w:rFonts w:ascii="Verdana" w:hAnsi="Verdana"/>
        </w:rPr>
      </w:pPr>
      <w:r w:rsidRPr="002014C6">
        <w:rPr>
          <w:rFonts w:ascii="Verdana" w:hAnsi="Verdana"/>
        </w:rPr>
        <w:t>Business-Aligned Security Metrics Selection Framework</w:t>
      </w:r>
    </w:p>
    <w:p w14:paraId="060E4FDF" w14:textId="77777777" w:rsidR="002014C6" w:rsidRPr="002014C6" w:rsidRDefault="002014C6" w:rsidP="002014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14C6">
        <w:rPr>
          <w:rFonts w:ascii="Verdana" w:hAnsi="Verdana"/>
          <w:b/>
          <w:bCs/>
        </w:rPr>
        <w:t>PURPOSE:</w:t>
      </w:r>
      <w:r w:rsidRPr="002014C6">
        <w:rPr>
          <w:rFonts w:ascii="Verdana" w:hAnsi="Verdana"/>
        </w:rPr>
        <w:t xml:space="preserve"> Helps security leaders identify and develop metrics that directly connect security activities to business outcomes and executive priorities.</w:t>
      </w:r>
    </w:p>
    <w:p w14:paraId="6E1AD6BB" w14:textId="77777777" w:rsidR="002014C6" w:rsidRPr="002014C6" w:rsidRDefault="002014C6" w:rsidP="002014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14C6">
        <w:rPr>
          <w:rFonts w:ascii="Verdana" w:hAnsi="Verdana"/>
          <w:b/>
          <w:bCs/>
        </w:rPr>
        <w:t xml:space="preserve">WHEN TO USE: </w:t>
      </w:r>
      <w:r w:rsidRPr="002014C6">
        <w:rPr>
          <w:rFonts w:ascii="Verdana" w:hAnsi="Verdana"/>
        </w:rPr>
        <w:t>During annual security planning, when preparing board presentations, or when revising security reporting approaches that aren't resonating with business leaders.</w:t>
      </w:r>
    </w:p>
    <w:p w14:paraId="16ACB108" w14:textId="77777777" w:rsidR="002014C6" w:rsidRPr="002014C6" w:rsidRDefault="002014C6" w:rsidP="002014C6">
      <w:pPr>
        <w:pStyle w:val="Heading2"/>
        <w:rPr>
          <w:rFonts w:ascii="Verdana" w:hAnsi="Verdana"/>
        </w:rPr>
      </w:pPr>
      <w:r w:rsidRPr="002014C6">
        <w:rPr>
          <w:rFonts w:ascii="Verdana" w:hAnsi="Verdana"/>
        </w:rPr>
        <w:t>Step 1: Map Business Objectives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070"/>
        <w:gridCol w:w="2081"/>
        <w:gridCol w:w="2182"/>
        <w:gridCol w:w="1457"/>
      </w:tblGrid>
      <w:tr w:rsidR="002014C6" w:rsidRPr="002014C6" w14:paraId="2CD16C0C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10455D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Key Business Objective</w:t>
            </w:r>
          </w:p>
        </w:tc>
        <w:tc>
          <w:tcPr>
            <w:tcW w:w="0" w:type="auto"/>
            <w:hideMark/>
          </w:tcPr>
          <w:p w14:paraId="5D41E93C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449D84BA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Success Measures</w:t>
            </w:r>
          </w:p>
        </w:tc>
        <w:tc>
          <w:tcPr>
            <w:tcW w:w="0" w:type="auto"/>
            <w:hideMark/>
          </w:tcPr>
          <w:p w14:paraId="69F9BCEB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Timeline</w:t>
            </w:r>
          </w:p>
        </w:tc>
      </w:tr>
      <w:tr w:rsidR="002014C6" w:rsidRPr="002014C6" w14:paraId="19B7F13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AD8AE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[Example: Increase digital banking customers by 20%]</w:t>
            </w:r>
          </w:p>
        </w:tc>
        <w:tc>
          <w:tcPr>
            <w:tcW w:w="0" w:type="auto"/>
            <w:hideMark/>
          </w:tcPr>
          <w:p w14:paraId="7BC7809F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[Business unit owner]</w:t>
            </w:r>
          </w:p>
        </w:tc>
        <w:tc>
          <w:tcPr>
            <w:tcW w:w="0" w:type="auto"/>
            <w:hideMark/>
          </w:tcPr>
          <w:p w14:paraId="2F9E45E1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[Key business metrics]</w:t>
            </w:r>
          </w:p>
        </w:tc>
        <w:tc>
          <w:tcPr>
            <w:tcW w:w="0" w:type="auto"/>
            <w:hideMark/>
          </w:tcPr>
          <w:p w14:paraId="65EB94CA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[Target date]</w:t>
            </w:r>
          </w:p>
        </w:tc>
      </w:tr>
      <w:tr w:rsidR="002014C6" w:rsidRPr="002014C6" w14:paraId="03EAEC2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AE5B32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7BED632E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5D02C9A1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4EFE114F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66724F96" w14:textId="09E58FC1" w:rsidR="002014C6" w:rsidRPr="002014C6" w:rsidRDefault="002014C6" w:rsidP="002014C6">
      <w:pPr>
        <w:pStyle w:val="Caption"/>
        <w:rPr>
          <w:rFonts w:ascii="Verdana" w:hAnsi="Verdana"/>
        </w:rPr>
      </w:pPr>
      <w:r w:rsidRPr="002014C6">
        <w:rPr>
          <w:rFonts w:ascii="Verdana" w:hAnsi="Verdana"/>
        </w:rPr>
        <w:t xml:space="preserve">Table </w:t>
      </w:r>
      <w:r w:rsidRPr="002014C6">
        <w:rPr>
          <w:rFonts w:ascii="Verdana" w:hAnsi="Verdana"/>
        </w:rPr>
        <w:fldChar w:fldCharType="begin"/>
      </w:r>
      <w:r w:rsidRPr="002014C6">
        <w:rPr>
          <w:rFonts w:ascii="Verdana" w:hAnsi="Verdana"/>
        </w:rPr>
        <w:instrText xml:space="preserve"> SEQ Table \* ARABIC </w:instrText>
      </w:r>
      <w:r w:rsidRPr="002014C6">
        <w:rPr>
          <w:rFonts w:ascii="Verdana" w:hAnsi="Verdana"/>
        </w:rPr>
        <w:fldChar w:fldCharType="separate"/>
      </w:r>
      <w:r w:rsidR="00AD209F">
        <w:rPr>
          <w:rFonts w:ascii="Verdana" w:hAnsi="Verdana"/>
          <w:noProof/>
        </w:rPr>
        <w:t>1</w:t>
      </w:r>
      <w:r w:rsidRPr="002014C6">
        <w:rPr>
          <w:rFonts w:ascii="Verdana" w:hAnsi="Verdana"/>
          <w:noProof/>
        </w:rPr>
        <w:fldChar w:fldCharType="end"/>
      </w:r>
      <w:r w:rsidRPr="002014C6">
        <w:rPr>
          <w:rFonts w:ascii="Verdana" w:hAnsi="Verdana"/>
        </w:rPr>
        <w:t>: Map Business Objectives</w:t>
      </w:r>
    </w:p>
    <w:p w14:paraId="4A6408E8" w14:textId="77777777" w:rsidR="002014C6" w:rsidRPr="002014C6" w:rsidRDefault="002014C6" w:rsidP="002014C6">
      <w:pPr>
        <w:pStyle w:val="Heading2"/>
        <w:rPr>
          <w:rFonts w:ascii="Verdana" w:hAnsi="Verdana"/>
        </w:rPr>
      </w:pPr>
      <w:r w:rsidRPr="002014C6">
        <w:rPr>
          <w:rFonts w:ascii="Verdana" w:hAnsi="Verdana"/>
        </w:rPr>
        <w:t>Step 2: Identify Security Dependencies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799"/>
        <w:gridCol w:w="3251"/>
        <w:gridCol w:w="3740"/>
      </w:tblGrid>
      <w:tr w:rsidR="002014C6" w:rsidRPr="002014C6" w14:paraId="3348E895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B676D5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Business Objective</w:t>
            </w:r>
          </w:p>
        </w:tc>
        <w:tc>
          <w:tcPr>
            <w:tcW w:w="0" w:type="auto"/>
            <w:hideMark/>
          </w:tcPr>
          <w:p w14:paraId="44F9BF51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Security Dependencies</w:t>
            </w:r>
          </w:p>
        </w:tc>
        <w:tc>
          <w:tcPr>
            <w:tcW w:w="0" w:type="auto"/>
            <w:hideMark/>
          </w:tcPr>
          <w:p w14:paraId="3C2D5CAB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Risk if Not Addressed</w:t>
            </w:r>
          </w:p>
        </w:tc>
      </w:tr>
      <w:tr w:rsidR="002014C6" w:rsidRPr="002014C6" w14:paraId="051B787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0F7B84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[Business objective from Step 1]</w:t>
            </w:r>
          </w:p>
        </w:tc>
        <w:tc>
          <w:tcPr>
            <w:tcW w:w="0" w:type="auto"/>
            <w:hideMark/>
          </w:tcPr>
          <w:p w14:paraId="60023332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[Security capabilities required]</w:t>
            </w:r>
          </w:p>
        </w:tc>
        <w:tc>
          <w:tcPr>
            <w:tcW w:w="0" w:type="auto"/>
            <w:hideMark/>
          </w:tcPr>
          <w:p w14:paraId="4F72E080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[Business impact of security failure]</w:t>
            </w:r>
          </w:p>
        </w:tc>
      </w:tr>
      <w:tr w:rsidR="002014C6" w:rsidRPr="002014C6" w14:paraId="42245F0F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E8A77A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3D6DA2AD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320698E5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85FA270" w14:textId="000AE3F7" w:rsidR="002014C6" w:rsidRPr="002014C6" w:rsidRDefault="002014C6" w:rsidP="002014C6">
      <w:pPr>
        <w:pStyle w:val="Caption"/>
        <w:rPr>
          <w:rFonts w:ascii="Verdana" w:hAnsi="Verdana"/>
        </w:rPr>
      </w:pPr>
      <w:r w:rsidRPr="002014C6">
        <w:rPr>
          <w:rFonts w:ascii="Verdana" w:hAnsi="Verdana"/>
        </w:rPr>
        <w:t xml:space="preserve">Table </w:t>
      </w:r>
      <w:r w:rsidRPr="002014C6">
        <w:rPr>
          <w:rFonts w:ascii="Verdana" w:hAnsi="Verdana"/>
        </w:rPr>
        <w:fldChar w:fldCharType="begin"/>
      </w:r>
      <w:r w:rsidRPr="002014C6">
        <w:rPr>
          <w:rFonts w:ascii="Verdana" w:hAnsi="Verdana"/>
        </w:rPr>
        <w:instrText xml:space="preserve"> SEQ Table \* ARABIC </w:instrText>
      </w:r>
      <w:r w:rsidRPr="002014C6">
        <w:rPr>
          <w:rFonts w:ascii="Verdana" w:hAnsi="Verdana"/>
        </w:rPr>
        <w:fldChar w:fldCharType="separate"/>
      </w:r>
      <w:r w:rsidR="00AD209F">
        <w:rPr>
          <w:rFonts w:ascii="Verdana" w:hAnsi="Verdana"/>
          <w:noProof/>
        </w:rPr>
        <w:t>2</w:t>
      </w:r>
      <w:r w:rsidRPr="002014C6">
        <w:rPr>
          <w:rFonts w:ascii="Verdana" w:hAnsi="Verdana"/>
          <w:noProof/>
        </w:rPr>
        <w:fldChar w:fldCharType="end"/>
      </w:r>
      <w:r w:rsidRPr="002014C6">
        <w:rPr>
          <w:rFonts w:ascii="Verdana" w:hAnsi="Verdana"/>
        </w:rPr>
        <w:t>: Identify Security Dependencies</w:t>
      </w:r>
    </w:p>
    <w:p w14:paraId="57E749F3" w14:textId="77777777" w:rsidR="002014C6" w:rsidRPr="002014C6" w:rsidRDefault="002014C6" w:rsidP="002014C6">
      <w:pPr>
        <w:pStyle w:val="Heading2"/>
        <w:rPr>
          <w:rFonts w:ascii="Verdana" w:hAnsi="Verdana"/>
        </w:rPr>
      </w:pPr>
      <w:r w:rsidRPr="002014C6">
        <w:rPr>
          <w:rFonts w:ascii="Verdana" w:hAnsi="Verdana"/>
        </w:rPr>
        <w:t>Step 3: Define Business-Relevant Security Metrics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73"/>
        <w:gridCol w:w="2406"/>
        <w:gridCol w:w="3633"/>
        <w:gridCol w:w="2478"/>
      </w:tblGrid>
      <w:tr w:rsidR="002014C6" w:rsidRPr="002014C6" w14:paraId="433CF82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0CD002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Security Dependency</w:t>
            </w:r>
          </w:p>
        </w:tc>
        <w:tc>
          <w:tcPr>
            <w:tcW w:w="0" w:type="auto"/>
            <w:hideMark/>
          </w:tcPr>
          <w:p w14:paraId="0994C9AD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Traditional Technical Metric</w:t>
            </w:r>
          </w:p>
        </w:tc>
        <w:tc>
          <w:tcPr>
            <w:tcW w:w="0" w:type="auto"/>
            <w:hideMark/>
          </w:tcPr>
          <w:p w14:paraId="2C09A95F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Business-Aligned Metric</w:t>
            </w:r>
          </w:p>
        </w:tc>
        <w:tc>
          <w:tcPr>
            <w:tcW w:w="0" w:type="auto"/>
            <w:hideMark/>
          </w:tcPr>
          <w:p w14:paraId="09B36BD8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Business Impact</w:t>
            </w:r>
          </w:p>
        </w:tc>
      </w:tr>
      <w:tr w:rsidR="002014C6" w:rsidRPr="002014C6" w14:paraId="3A8DD42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08392C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Customer authentication</w:t>
            </w:r>
          </w:p>
        </w:tc>
        <w:tc>
          <w:tcPr>
            <w:tcW w:w="0" w:type="auto"/>
            <w:hideMark/>
          </w:tcPr>
          <w:p w14:paraId="77861A62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MFA implementation percentage</w:t>
            </w:r>
          </w:p>
        </w:tc>
        <w:tc>
          <w:tcPr>
            <w:tcW w:w="0" w:type="auto"/>
            <w:hideMark/>
          </w:tcPr>
          <w:p w14:paraId="6EAF13CA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Reduction in unauthorized access risk to revenue-generating systems</w:t>
            </w:r>
          </w:p>
        </w:tc>
        <w:tc>
          <w:tcPr>
            <w:tcW w:w="0" w:type="auto"/>
            <w:hideMark/>
          </w:tcPr>
          <w:p w14:paraId="4D9725B1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Protects $X in digital revenue</w:t>
            </w:r>
          </w:p>
        </w:tc>
      </w:tr>
      <w:tr w:rsidR="002014C6" w:rsidRPr="002014C6" w14:paraId="40F8C15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101E93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Data protection</w:t>
            </w:r>
          </w:p>
        </w:tc>
        <w:tc>
          <w:tcPr>
            <w:tcW w:w="0" w:type="auto"/>
            <w:hideMark/>
          </w:tcPr>
          <w:p w14:paraId="7B71E1C3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Encryption coverage</w:t>
            </w:r>
          </w:p>
        </w:tc>
        <w:tc>
          <w:tcPr>
            <w:tcW w:w="0" w:type="auto"/>
            <w:hideMark/>
          </w:tcPr>
          <w:p w14:paraId="5AEEF97D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Customer data protection confidence score</w:t>
            </w:r>
          </w:p>
        </w:tc>
        <w:tc>
          <w:tcPr>
            <w:tcW w:w="0" w:type="auto"/>
            <w:hideMark/>
          </w:tcPr>
          <w:p w14:paraId="1CE60FCC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Preserves trust of X million customers</w:t>
            </w:r>
          </w:p>
        </w:tc>
      </w:tr>
      <w:tr w:rsidR="002014C6" w:rsidRPr="002014C6" w14:paraId="4DDD93E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1E7509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Availability</w:t>
            </w:r>
          </w:p>
        </w:tc>
        <w:tc>
          <w:tcPr>
            <w:tcW w:w="0" w:type="auto"/>
            <w:hideMark/>
          </w:tcPr>
          <w:p w14:paraId="057C9DDC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System uptime</w:t>
            </w:r>
          </w:p>
        </w:tc>
        <w:tc>
          <w:tcPr>
            <w:tcW w:w="0" w:type="auto"/>
            <w:hideMark/>
          </w:tcPr>
          <w:p w14:paraId="18C0AE42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Critical service uptime affecting revenue streams</w:t>
            </w:r>
          </w:p>
        </w:tc>
        <w:tc>
          <w:tcPr>
            <w:tcW w:w="0" w:type="auto"/>
            <w:hideMark/>
          </w:tcPr>
          <w:p w14:paraId="32E9C955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Prevents $X/hour in lost business</w:t>
            </w:r>
          </w:p>
        </w:tc>
      </w:tr>
      <w:tr w:rsidR="002014C6" w:rsidRPr="002014C6" w14:paraId="5765101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80C0F7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Threat detection</w:t>
            </w:r>
          </w:p>
        </w:tc>
        <w:tc>
          <w:tcPr>
            <w:tcW w:w="0" w:type="auto"/>
            <w:hideMark/>
          </w:tcPr>
          <w:p w14:paraId="0E77A3B8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MTTD for critical systems</w:t>
            </w:r>
          </w:p>
        </w:tc>
        <w:tc>
          <w:tcPr>
            <w:tcW w:w="0" w:type="auto"/>
            <w:hideMark/>
          </w:tcPr>
          <w:p w14:paraId="1ED0711C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Speed of threat containment for business-critical assets</w:t>
            </w:r>
          </w:p>
        </w:tc>
        <w:tc>
          <w:tcPr>
            <w:tcW w:w="0" w:type="auto"/>
            <w:hideMark/>
          </w:tcPr>
          <w:p w14:paraId="3D8FF98B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Limits financial exposure to $X per incident</w:t>
            </w:r>
          </w:p>
        </w:tc>
      </w:tr>
    </w:tbl>
    <w:p w14:paraId="5B26AD26" w14:textId="3289B719" w:rsidR="002014C6" w:rsidRPr="002014C6" w:rsidRDefault="002014C6" w:rsidP="002014C6">
      <w:pPr>
        <w:pStyle w:val="Caption"/>
        <w:rPr>
          <w:rFonts w:ascii="Verdana" w:hAnsi="Verdana"/>
        </w:rPr>
      </w:pPr>
      <w:r w:rsidRPr="002014C6">
        <w:rPr>
          <w:rFonts w:ascii="Verdana" w:hAnsi="Verdana"/>
        </w:rPr>
        <w:t xml:space="preserve">Table </w:t>
      </w:r>
      <w:r w:rsidRPr="002014C6">
        <w:rPr>
          <w:rFonts w:ascii="Verdana" w:hAnsi="Verdana"/>
        </w:rPr>
        <w:fldChar w:fldCharType="begin"/>
      </w:r>
      <w:r w:rsidRPr="002014C6">
        <w:rPr>
          <w:rFonts w:ascii="Verdana" w:hAnsi="Verdana"/>
        </w:rPr>
        <w:instrText xml:space="preserve"> SEQ Table \* ARABIC </w:instrText>
      </w:r>
      <w:r w:rsidRPr="002014C6">
        <w:rPr>
          <w:rFonts w:ascii="Verdana" w:hAnsi="Verdana"/>
        </w:rPr>
        <w:fldChar w:fldCharType="separate"/>
      </w:r>
      <w:r w:rsidR="00AD209F">
        <w:rPr>
          <w:rFonts w:ascii="Verdana" w:hAnsi="Verdana"/>
          <w:noProof/>
        </w:rPr>
        <w:t>3</w:t>
      </w:r>
      <w:r w:rsidRPr="002014C6">
        <w:rPr>
          <w:rFonts w:ascii="Verdana" w:hAnsi="Verdana"/>
          <w:noProof/>
        </w:rPr>
        <w:fldChar w:fldCharType="end"/>
      </w:r>
      <w:r w:rsidRPr="002014C6">
        <w:rPr>
          <w:rFonts w:ascii="Verdana" w:hAnsi="Verdana"/>
        </w:rPr>
        <w:t>: Define Business-Relevant Security Metrics</w:t>
      </w:r>
    </w:p>
    <w:p w14:paraId="75CD7B7E" w14:textId="77777777" w:rsidR="002014C6" w:rsidRPr="002014C6" w:rsidRDefault="002014C6" w:rsidP="002014C6">
      <w:pPr>
        <w:pStyle w:val="Heading2"/>
        <w:rPr>
          <w:rFonts w:ascii="Verdana" w:hAnsi="Verdana"/>
        </w:rPr>
      </w:pPr>
      <w:r w:rsidRPr="002014C6">
        <w:rPr>
          <w:rFonts w:ascii="Verdana" w:hAnsi="Verdana"/>
        </w:rPr>
        <w:t>Step 4: Establish Measurement Methodology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48"/>
        <w:gridCol w:w="2104"/>
        <w:gridCol w:w="2070"/>
        <w:gridCol w:w="1990"/>
        <w:gridCol w:w="2378"/>
      </w:tblGrid>
      <w:tr w:rsidR="002014C6" w:rsidRPr="002014C6" w14:paraId="7EBAB2D5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07982B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Business-Aligned Metric</w:t>
            </w:r>
          </w:p>
        </w:tc>
        <w:tc>
          <w:tcPr>
            <w:tcW w:w="0" w:type="auto"/>
            <w:hideMark/>
          </w:tcPr>
          <w:p w14:paraId="29658C27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Data Sources</w:t>
            </w:r>
          </w:p>
        </w:tc>
        <w:tc>
          <w:tcPr>
            <w:tcW w:w="0" w:type="auto"/>
            <w:hideMark/>
          </w:tcPr>
          <w:p w14:paraId="37BE888A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Collection Frequency</w:t>
            </w:r>
          </w:p>
        </w:tc>
        <w:tc>
          <w:tcPr>
            <w:tcW w:w="0" w:type="auto"/>
            <w:hideMark/>
          </w:tcPr>
          <w:p w14:paraId="2388DDD7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Calculation Method</w:t>
            </w:r>
          </w:p>
        </w:tc>
        <w:tc>
          <w:tcPr>
            <w:tcW w:w="0" w:type="auto"/>
            <w:hideMark/>
          </w:tcPr>
          <w:p w14:paraId="54B3546D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Target/Threshold</w:t>
            </w:r>
          </w:p>
        </w:tc>
      </w:tr>
      <w:tr w:rsidR="002014C6" w:rsidRPr="002014C6" w14:paraId="6BA53BA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6BA265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[Metric from Step 3]</w:t>
            </w:r>
          </w:p>
        </w:tc>
        <w:tc>
          <w:tcPr>
            <w:tcW w:w="0" w:type="auto"/>
            <w:hideMark/>
          </w:tcPr>
          <w:p w14:paraId="4B41D0D6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[Where data comes from]</w:t>
            </w:r>
          </w:p>
        </w:tc>
        <w:tc>
          <w:tcPr>
            <w:tcW w:w="0" w:type="auto"/>
            <w:hideMark/>
          </w:tcPr>
          <w:p w14:paraId="36F57AE8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[How often collected]</w:t>
            </w:r>
          </w:p>
        </w:tc>
        <w:tc>
          <w:tcPr>
            <w:tcW w:w="0" w:type="auto"/>
            <w:hideMark/>
          </w:tcPr>
          <w:p w14:paraId="0278F5F8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[Formula]</w:t>
            </w:r>
          </w:p>
        </w:tc>
        <w:tc>
          <w:tcPr>
            <w:tcW w:w="0" w:type="auto"/>
            <w:hideMark/>
          </w:tcPr>
          <w:p w14:paraId="7580DCD8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[Desired performance]</w:t>
            </w:r>
          </w:p>
        </w:tc>
      </w:tr>
      <w:tr w:rsidR="002014C6" w:rsidRPr="002014C6" w14:paraId="080C07C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EFAB06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5180E829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595744B6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03F3CF77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3B6AB770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5093FB38" w14:textId="7DD84F69" w:rsidR="002014C6" w:rsidRPr="002014C6" w:rsidRDefault="002014C6" w:rsidP="002014C6">
      <w:pPr>
        <w:pStyle w:val="Caption"/>
        <w:rPr>
          <w:rFonts w:ascii="Verdana" w:hAnsi="Verdana"/>
        </w:rPr>
      </w:pPr>
      <w:r w:rsidRPr="002014C6">
        <w:rPr>
          <w:rFonts w:ascii="Verdana" w:hAnsi="Verdana"/>
        </w:rPr>
        <w:t xml:space="preserve">Table </w:t>
      </w:r>
      <w:r w:rsidRPr="002014C6">
        <w:rPr>
          <w:rFonts w:ascii="Verdana" w:hAnsi="Verdana"/>
        </w:rPr>
        <w:fldChar w:fldCharType="begin"/>
      </w:r>
      <w:r w:rsidRPr="002014C6">
        <w:rPr>
          <w:rFonts w:ascii="Verdana" w:hAnsi="Verdana"/>
        </w:rPr>
        <w:instrText xml:space="preserve"> SEQ Table \* ARABIC </w:instrText>
      </w:r>
      <w:r w:rsidRPr="002014C6">
        <w:rPr>
          <w:rFonts w:ascii="Verdana" w:hAnsi="Verdana"/>
        </w:rPr>
        <w:fldChar w:fldCharType="separate"/>
      </w:r>
      <w:r w:rsidR="00AD209F">
        <w:rPr>
          <w:rFonts w:ascii="Verdana" w:hAnsi="Verdana"/>
          <w:noProof/>
        </w:rPr>
        <w:t>4</w:t>
      </w:r>
      <w:r w:rsidRPr="002014C6">
        <w:rPr>
          <w:rFonts w:ascii="Verdana" w:hAnsi="Verdana"/>
          <w:noProof/>
        </w:rPr>
        <w:fldChar w:fldCharType="end"/>
      </w:r>
      <w:r w:rsidRPr="002014C6">
        <w:rPr>
          <w:rFonts w:ascii="Verdana" w:hAnsi="Verdana"/>
        </w:rPr>
        <w:t>: Establish Measurement Methodology</w:t>
      </w:r>
    </w:p>
    <w:p w14:paraId="58197294" w14:textId="77777777" w:rsidR="002014C6" w:rsidRPr="002014C6" w:rsidRDefault="002014C6" w:rsidP="002014C6">
      <w:pPr>
        <w:pStyle w:val="Heading2"/>
        <w:rPr>
          <w:rFonts w:ascii="Verdana" w:hAnsi="Verdana"/>
        </w:rPr>
      </w:pPr>
      <w:r w:rsidRPr="002014C6">
        <w:rPr>
          <w:rFonts w:ascii="Verdana" w:hAnsi="Verdana"/>
        </w:rPr>
        <w:lastRenderedPageBreak/>
        <w:t>Step 5: Create Stakeholder-Specific Views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190"/>
        <w:gridCol w:w="3191"/>
        <w:gridCol w:w="3343"/>
        <w:gridCol w:w="2066"/>
      </w:tblGrid>
      <w:tr w:rsidR="002014C6" w:rsidRPr="002014C6" w14:paraId="1AC95EC8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4D6C6F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Stakeholder</w:t>
            </w:r>
          </w:p>
        </w:tc>
        <w:tc>
          <w:tcPr>
            <w:tcW w:w="0" w:type="auto"/>
            <w:hideMark/>
          </w:tcPr>
          <w:p w14:paraId="2C45C1E8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Primary Concerns</w:t>
            </w:r>
          </w:p>
        </w:tc>
        <w:tc>
          <w:tcPr>
            <w:tcW w:w="0" w:type="auto"/>
            <w:hideMark/>
          </w:tcPr>
          <w:p w14:paraId="0B2CA41F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Key Metrics to Present</w:t>
            </w:r>
          </w:p>
        </w:tc>
        <w:tc>
          <w:tcPr>
            <w:tcW w:w="0" w:type="auto"/>
            <w:hideMark/>
          </w:tcPr>
          <w:p w14:paraId="4AA0EDA3" w14:textId="77777777" w:rsidR="002014C6" w:rsidRPr="002014C6" w:rsidRDefault="002014C6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Preferred Format</w:t>
            </w:r>
          </w:p>
        </w:tc>
      </w:tr>
      <w:tr w:rsidR="002014C6" w:rsidRPr="002014C6" w14:paraId="150DB88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5ECF5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Board</w:t>
            </w:r>
          </w:p>
        </w:tc>
        <w:tc>
          <w:tcPr>
            <w:tcW w:w="0" w:type="auto"/>
            <w:hideMark/>
          </w:tcPr>
          <w:p w14:paraId="27A045BA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Governance, risk oversight</w:t>
            </w:r>
          </w:p>
        </w:tc>
        <w:tc>
          <w:tcPr>
            <w:tcW w:w="0" w:type="auto"/>
            <w:hideMark/>
          </w:tcPr>
          <w:p w14:paraId="4A9FB86D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Overall risk posture, compliance status</w:t>
            </w:r>
          </w:p>
        </w:tc>
        <w:tc>
          <w:tcPr>
            <w:tcW w:w="0" w:type="auto"/>
            <w:hideMark/>
          </w:tcPr>
          <w:p w14:paraId="6C730EDA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High-level dashboard</w:t>
            </w:r>
          </w:p>
        </w:tc>
      </w:tr>
      <w:tr w:rsidR="002014C6" w:rsidRPr="002014C6" w14:paraId="75F3C8B6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6E0710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CEO</w:t>
            </w:r>
          </w:p>
        </w:tc>
        <w:tc>
          <w:tcPr>
            <w:tcW w:w="0" w:type="auto"/>
            <w:hideMark/>
          </w:tcPr>
          <w:p w14:paraId="7A11C4BB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Strategic alignment, reputation</w:t>
            </w:r>
          </w:p>
        </w:tc>
        <w:tc>
          <w:tcPr>
            <w:tcW w:w="0" w:type="auto"/>
            <w:hideMark/>
          </w:tcPr>
          <w:p w14:paraId="16B5248F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Security's support of strategic initiatives</w:t>
            </w:r>
          </w:p>
        </w:tc>
        <w:tc>
          <w:tcPr>
            <w:tcW w:w="0" w:type="auto"/>
            <w:hideMark/>
          </w:tcPr>
          <w:p w14:paraId="3E4847B5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Executive summary</w:t>
            </w:r>
          </w:p>
        </w:tc>
      </w:tr>
      <w:tr w:rsidR="002014C6" w:rsidRPr="002014C6" w14:paraId="5CFD45D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67E5C8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CFO</w:t>
            </w:r>
          </w:p>
        </w:tc>
        <w:tc>
          <w:tcPr>
            <w:tcW w:w="0" w:type="auto"/>
            <w:hideMark/>
          </w:tcPr>
          <w:p w14:paraId="40E6E047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Investment justification, cost management</w:t>
            </w:r>
          </w:p>
        </w:tc>
        <w:tc>
          <w:tcPr>
            <w:tcW w:w="0" w:type="auto"/>
            <w:hideMark/>
          </w:tcPr>
          <w:p w14:paraId="7436ED97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Security ROI, cost avoidance</w:t>
            </w:r>
          </w:p>
        </w:tc>
        <w:tc>
          <w:tcPr>
            <w:tcW w:w="0" w:type="auto"/>
            <w:hideMark/>
          </w:tcPr>
          <w:p w14:paraId="7A45A5F9" w14:textId="77777777" w:rsidR="002014C6" w:rsidRPr="002014C6" w:rsidRDefault="002014C6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Financial analysis</w:t>
            </w:r>
          </w:p>
        </w:tc>
      </w:tr>
      <w:tr w:rsidR="002014C6" w:rsidRPr="002014C6" w14:paraId="3374286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6DBAE5" w14:textId="77777777" w:rsidR="002014C6" w:rsidRPr="002014C6" w:rsidRDefault="002014C6" w:rsidP="005C3B97">
            <w:pPr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Business Unit Leaders</w:t>
            </w:r>
          </w:p>
        </w:tc>
        <w:tc>
          <w:tcPr>
            <w:tcW w:w="0" w:type="auto"/>
            <w:hideMark/>
          </w:tcPr>
          <w:p w14:paraId="3BA7E950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Operational impact, enablement</w:t>
            </w:r>
          </w:p>
        </w:tc>
        <w:tc>
          <w:tcPr>
            <w:tcW w:w="0" w:type="auto"/>
            <w:hideMark/>
          </w:tcPr>
          <w:p w14:paraId="33AE814C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Security's impact on specific business functions</w:t>
            </w:r>
          </w:p>
        </w:tc>
        <w:tc>
          <w:tcPr>
            <w:tcW w:w="0" w:type="auto"/>
            <w:hideMark/>
          </w:tcPr>
          <w:p w14:paraId="48A31547" w14:textId="77777777" w:rsidR="002014C6" w:rsidRPr="002014C6" w:rsidRDefault="002014C6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014C6">
              <w:rPr>
                <w:rFonts w:ascii="Verdana" w:hAnsi="Verdana"/>
              </w:rPr>
              <w:t>Function-specific metrics</w:t>
            </w:r>
          </w:p>
        </w:tc>
      </w:tr>
    </w:tbl>
    <w:p w14:paraId="0A3DADB7" w14:textId="5894308F" w:rsidR="002014C6" w:rsidRPr="002014C6" w:rsidRDefault="002014C6" w:rsidP="002014C6">
      <w:pPr>
        <w:pStyle w:val="Caption"/>
        <w:rPr>
          <w:rFonts w:ascii="Verdana" w:hAnsi="Verdana"/>
        </w:rPr>
      </w:pPr>
      <w:r w:rsidRPr="002014C6">
        <w:rPr>
          <w:rFonts w:ascii="Verdana" w:hAnsi="Verdana"/>
        </w:rPr>
        <w:t xml:space="preserve">Table </w:t>
      </w:r>
      <w:r w:rsidRPr="002014C6">
        <w:rPr>
          <w:rFonts w:ascii="Verdana" w:hAnsi="Verdana"/>
        </w:rPr>
        <w:fldChar w:fldCharType="begin"/>
      </w:r>
      <w:r w:rsidRPr="002014C6">
        <w:rPr>
          <w:rFonts w:ascii="Verdana" w:hAnsi="Verdana"/>
        </w:rPr>
        <w:instrText xml:space="preserve"> SEQ Table \* ARABIC </w:instrText>
      </w:r>
      <w:r w:rsidRPr="002014C6">
        <w:rPr>
          <w:rFonts w:ascii="Verdana" w:hAnsi="Verdana"/>
        </w:rPr>
        <w:fldChar w:fldCharType="separate"/>
      </w:r>
      <w:r w:rsidR="00AD209F">
        <w:rPr>
          <w:rFonts w:ascii="Verdana" w:hAnsi="Verdana"/>
          <w:noProof/>
        </w:rPr>
        <w:t>5</w:t>
      </w:r>
      <w:r w:rsidRPr="002014C6">
        <w:rPr>
          <w:rFonts w:ascii="Verdana" w:hAnsi="Verdana"/>
          <w:noProof/>
        </w:rPr>
        <w:fldChar w:fldCharType="end"/>
      </w:r>
      <w:r w:rsidRPr="002014C6">
        <w:rPr>
          <w:rFonts w:ascii="Verdana" w:hAnsi="Verdana"/>
        </w:rPr>
        <w:t>: Create Stakeholder-Specific Views</w:t>
      </w:r>
    </w:p>
    <w:p w14:paraId="7B3DF9DA" w14:textId="77777777" w:rsidR="002014C6" w:rsidRPr="002014C6" w:rsidRDefault="002014C6" w:rsidP="002014C6">
      <w:pPr>
        <w:pStyle w:val="Heading2"/>
        <w:rPr>
          <w:rFonts w:ascii="Verdana" w:hAnsi="Verdana"/>
        </w:rPr>
      </w:pPr>
      <w:r w:rsidRPr="002014C6">
        <w:rPr>
          <w:rFonts w:ascii="Verdana" w:hAnsi="Verdana"/>
        </w:rPr>
        <w:t xml:space="preserve">IMPLEMENTATION TIPS: </w:t>
      </w:r>
    </w:p>
    <w:p w14:paraId="13A71F20" w14:textId="77777777" w:rsidR="002014C6" w:rsidRPr="002014C6" w:rsidRDefault="002014C6" w:rsidP="002014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14C6">
        <w:rPr>
          <w:rFonts w:ascii="Verdana" w:hAnsi="Verdana"/>
        </w:rPr>
        <w:t>Begin with no more than 3-5 metrics for each stakeholder group to avoid information overload</w:t>
      </w:r>
    </w:p>
    <w:p w14:paraId="0D61DD14" w14:textId="77777777" w:rsidR="002014C6" w:rsidRPr="002014C6" w:rsidRDefault="002014C6" w:rsidP="002014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14C6">
        <w:rPr>
          <w:rFonts w:ascii="Verdana" w:hAnsi="Verdana"/>
        </w:rPr>
        <w:t>Review regularly with business stakeholders to ensure metrics remain relevant as business priorities shift</w:t>
      </w:r>
    </w:p>
    <w:p w14:paraId="7E6B028E" w14:textId="77777777" w:rsidR="002014C6" w:rsidRPr="002014C6" w:rsidRDefault="002014C6" w:rsidP="002014C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14C6">
        <w:rPr>
          <w:rFonts w:ascii="Verdana" w:hAnsi="Verdana"/>
        </w:rPr>
        <w:t>Use a pilot approach with one business unit before expanding to the entire organization</w:t>
      </w:r>
    </w:p>
    <w:p w14:paraId="29AE00DF" w14:textId="77777777" w:rsidR="005A3C36" w:rsidRPr="002014C6" w:rsidRDefault="005A3C36" w:rsidP="002014C6">
      <w:pPr>
        <w:rPr>
          <w:rFonts w:ascii="Verdana" w:hAnsi="Verdana"/>
        </w:rPr>
      </w:pPr>
    </w:p>
    <w:sectPr w:rsidR="005A3C36" w:rsidRPr="002014C6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FC17" w14:textId="77777777" w:rsidR="00C63573" w:rsidRDefault="00C63573" w:rsidP="005A3C36">
      <w:pPr>
        <w:spacing w:after="0" w:line="240" w:lineRule="auto"/>
      </w:pPr>
      <w:r>
        <w:separator/>
      </w:r>
    </w:p>
  </w:endnote>
  <w:endnote w:type="continuationSeparator" w:id="0">
    <w:p w14:paraId="654A85B2" w14:textId="77777777" w:rsidR="00C63573" w:rsidRDefault="00C63573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1E40" w14:textId="77777777" w:rsidR="00383562" w:rsidRDefault="00383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0950" w14:textId="75270B1E" w:rsidR="005A3C36" w:rsidRPr="005A3C36" w:rsidRDefault="00383562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3998" w14:textId="77777777" w:rsidR="00383562" w:rsidRDefault="00383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D82B" w14:textId="77777777" w:rsidR="00C63573" w:rsidRDefault="00C63573" w:rsidP="005A3C36">
      <w:pPr>
        <w:spacing w:after="0" w:line="240" w:lineRule="auto"/>
      </w:pPr>
      <w:r>
        <w:separator/>
      </w:r>
    </w:p>
  </w:footnote>
  <w:footnote w:type="continuationSeparator" w:id="0">
    <w:p w14:paraId="091FD80F" w14:textId="77777777" w:rsidR="00C63573" w:rsidRDefault="00C63573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C689" w14:textId="77777777" w:rsidR="00383562" w:rsidRDefault="00383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6ACFC" w14:textId="6EE2FBB3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2014C6">
      <w:rPr>
        <w:rFonts w:ascii="Verdana" w:hAnsi="Verdana"/>
      </w:rPr>
      <w:t>6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D06E" w14:textId="77777777" w:rsidR="00383562" w:rsidRDefault="00383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C6"/>
    <w:rsid w:val="000756A1"/>
    <w:rsid w:val="002014C6"/>
    <w:rsid w:val="002364EF"/>
    <w:rsid w:val="002A6616"/>
    <w:rsid w:val="002B75FE"/>
    <w:rsid w:val="00383562"/>
    <w:rsid w:val="004B29F0"/>
    <w:rsid w:val="00543E0E"/>
    <w:rsid w:val="005A3C36"/>
    <w:rsid w:val="007C7472"/>
    <w:rsid w:val="0097167D"/>
    <w:rsid w:val="00A51513"/>
    <w:rsid w:val="00A80303"/>
    <w:rsid w:val="00AD209F"/>
    <w:rsid w:val="00B56A81"/>
    <w:rsid w:val="00C63573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78CD3"/>
  <w15:chartTrackingRefBased/>
  <w15:docId w15:val="{ABC4E880-D8E5-485A-8078-C5056808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4C6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2014C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2014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8356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356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Chapter #: (NAME)</vt:lpstr>
      <vt:lpstr>Business-Aligned Security Metrics Selection Framework</vt:lpstr>
      <vt:lpstr>    Step 1: Map Business Objectives</vt:lpstr>
      <vt:lpstr>    Step 2: Identify Security Dependencies</vt:lpstr>
      <vt:lpstr>    Step 3: Define Business-Relevant Security Metrics</vt:lpstr>
      <vt:lpstr>    Step 4: Establish Measurement Methodology</vt:lpstr>
      <vt:lpstr>    Step 5: Create Stakeholder-Specific Views</vt:lpstr>
      <vt:lpstr>    IMPLEMENTATION TIPS: </vt:lpstr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6: Business-Aligned Security Metrics Selection Framework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3</cp:revision>
  <dcterms:created xsi:type="dcterms:W3CDTF">2025-08-25T18:09:00Z</dcterms:created>
  <dcterms:modified xsi:type="dcterms:W3CDTF">2026-05-19T20:02:00Z</dcterms:modified>
</cp:coreProperties>
</file>