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9EA4" w14:textId="77777777" w:rsidR="002D628C" w:rsidRPr="002D628C" w:rsidRDefault="002D628C" w:rsidP="002D628C">
      <w:pPr>
        <w:pStyle w:val="Heading1"/>
        <w:rPr>
          <w:rFonts w:ascii="Verdana" w:hAnsi="Verdana"/>
        </w:rPr>
      </w:pPr>
      <w:r w:rsidRPr="002D628C">
        <w:rPr>
          <w:rFonts w:ascii="Verdana" w:hAnsi="Verdana"/>
        </w:rPr>
        <w:t>Risk Appetite Statement Development Framework</w:t>
      </w:r>
    </w:p>
    <w:p w14:paraId="202CE8D9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  <w:b/>
          <w:bCs/>
        </w:rPr>
        <w:t>PURPOSE:</w:t>
      </w:r>
      <w:r w:rsidRPr="002D628C">
        <w:rPr>
          <w:rFonts w:ascii="Verdana" w:hAnsi="Verdana"/>
        </w:rPr>
        <w:t xml:space="preserve"> Guides the creation of clear, actionable security risk appetite statements that connect security governance to business objectives.</w:t>
      </w:r>
    </w:p>
    <w:p w14:paraId="75ED9C8E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  <w:b/>
          <w:bCs/>
        </w:rPr>
        <w:t xml:space="preserve">WHEN TO USE: </w:t>
      </w:r>
      <w:r w:rsidRPr="002D628C">
        <w:rPr>
          <w:rFonts w:ascii="Verdana" w:hAnsi="Verdana"/>
        </w:rPr>
        <w:t>When establishing or refreshing security risk appetite, aligning security with enterprise risk management, or enhancing board-level risk oversight.</w:t>
      </w:r>
    </w:p>
    <w:p w14:paraId="379BD79E" w14:textId="77777777" w:rsidR="002D628C" w:rsidRPr="002D628C" w:rsidRDefault="002D628C" w:rsidP="002D628C">
      <w:pPr>
        <w:pStyle w:val="Heading2"/>
        <w:rPr>
          <w:rFonts w:ascii="Verdana" w:hAnsi="Verdana"/>
        </w:rPr>
      </w:pPr>
      <w:r w:rsidRPr="002D628C">
        <w:rPr>
          <w:rFonts w:ascii="Verdana" w:hAnsi="Verdana"/>
        </w:rPr>
        <w:t>STEP 1: UNDERSTAND BUSINESS CONTEXT</w:t>
      </w:r>
    </w:p>
    <w:p w14:paraId="70AB8EC1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Review enterprise strategy and objectives</w:t>
      </w:r>
    </w:p>
    <w:p w14:paraId="00907176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Identify critical business processes and assets</w:t>
      </w:r>
    </w:p>
    <w:p w14:paraId="405D6C59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Understand regulatory and compliance requirements</w:t>
      </w:r>
    </w:p>
    <w:p w14:paraId="5B1259D0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Document key business constraints and enablers</w:t>
      </w:r>
    </w:p>
    <w:p w14:paraId="6A0C70CE" w14:textId="77777777" w:rsidR="002D628C" w:rsidRPr="002D628C" w:rsidRDefault="002D628C" w:rsidP="002D628C">
      <w:pPr>
        <w:pStyle w:val="Heading2"/>
        <w:rPr>
          <w:rFonts w:ascii="Verdana" w:hAnsi="Verdana"/>
        </w:rPr>
      </w:pPr>
      <w:r w:rsidRPr="002D628C">
        <w:rPr>
          <w:rFonts w:ascii="Verdana" w:hAnsi="Verdana"/>
        </w:rPr>
        <w:t>STEP 2: DEFINE RISK CATEGORIES</w:t>
      </w:r>
    </w:p>
    <w:p w14:paraId="7A506C6B" w14:textId="77777777" w:rsidR="002D628C" w:rsidRPr="002D628C" w:rsidRDefault="002D628C" w:rsidP="002D628C">
      <w:pPr>
        <w:rPr>
          <w:rFonts w:ascii="Verdana" w:hAnsi="Verdana"/>
        </w:rPr>
      </w:pPr>
      <w:r w:rsidRPr="002D628C">
        <w:rPr>
          <w:rFonts w:ascii="Verdana" w:hAnsi="Verdana"/>
        </w:rPr>
        <w:t>For each of these common security risk categories:</w:t>
      </w:r>
    </w:p>
    <w:p w14:paraId="7A5C400D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Data Breach/Information Disclosure</w:t>
      </w:r>
    </w:p>
    <w:p w14:paraId="4012243D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System Availability/Business Disruption</w:t>
      </w:r>
    </w:p>
    <w:p w14:paraId="13051932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Regulatory Compliance</w:t>
      </w:r>
    </w:p>
    <w:p w14:paraId="45A44F42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Third-Party/Supply Chain</w:t>
      </w:r>
    </w:p>
    <w:p w14:paraId="4B816461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Emerging Technology Risks</w:t>
      </w:r>
    </w:p>
    <w:p w14:paraId="3DF4A911" w14:textId="77777777" w:rsidR="002D628C" w:rsidRPr="002D628C" w:rsidRDefault="002D628C" w:rsidP="002D628C">
      <w:pPr>
        <w:pStyle w:val="Heading2"/>
        <w:rPr>
          <w:rFonts w:ascii="Verdana" w:hAnsi="Verdana"/>
        </w:rPr>
      </w:pPr>
      <w:r w:rsidRPr="002D628C">
        <w:rPr>
          <w:rFonts w:ascii="Verdana" w:hAnsi="Verdana"/>
        </w:rPr>
        <w:t>STEP 3: DEVELOP APPETITE STATEMENTS</w:t>
      </w:r>
    </w:p>
    <w:p w14:paraId="6E06C41E" w14:textId="77777777" w:rsidR="002D628C" w:rsidRPr="002D628C" w:rsidRDefault="002D628C" w:rsidP="002D628C">
      <w:pPr>
        <w:rPr>
          <w:rFonts w:ascii="Verdana" w:hAnsi="Verdana"/>
        </w:rPr>
      </w:pPr>
      <w:r w:rsidRPr="002D628C">
        <w:rPr>
          <w:rFonts w:ascii="Verdana" w:hAnsi="Verdana"/>
        </w:rPr>
        <w:t>For each risk category, create statements that include:</w:t>
      </w:r>
    </w:p>
    <w:p w14:paraId="149EB607" w14:textId="77777777" w:rsidR="002D628C" w:rsidRPr="002D628C" w:rsidRDefault="002D628C" w:rsidP="002D628C">
      <w:pPr>
        <w:pStyle w:val="Heading3"/>
        <w:rPr>
          <w:rFonts w:ascii="Verdana" w:hAnsi="Verdana"/>
        </w:rPr>
      </w:pPr>
      <w:r w:rsidRPr="002D628C">
        <w:rPr>
          <w:rFonts w:ascii="Verdana" w:hAnsi="Verdana"/>
        </w:rPr>
        <w:t>A. QUALITATIVE DESCRIPTION</w:t>
      </w:r>
    </w:p>
    <w:p w14:paraId="27B9D93A" w14:textId="77777777" w:rsidR="002D628C" w:rsidRPr="002D628C" w:rsidRDefault="002D628C" w:rsidP="002D628C">
      <w:pPr>
        <w:rPr>
          <w:rFonts w:ascii="Verdana" w:hAnsi="Verdana"/>
        </w:rPr>
      </w:pPr>
      <w:r w:rsidRPr="002D628C">
        <w:rPr>
          <w:rFonts w:ascii="Verdana" w:hAnsi="Verdana"/>
        </w:rPr>
        <w:t>Example: "The organization has a LOW appetite for risks that could result in unauthorized disclosure of customer financial data, even if the probability is low."</w:t>
      </w:r>
    </w:p>
    <w:p w14:paraId="1FCF3FC4" w14:textId="77777777" w:rsidR="002D628C" w:rsidRPr="002D628C" w:rsidRDefault="002D628C" w:rsidP="002D628C">
      <w:pPr>
        <w:pStyle w:val="Heading3"/>
        <w:rPr>
          <w:rFonts w:ascii="Verdana" w:hAnsi="Verdana"/>
        </w:rPr>
      </w:pPr>
      <w:r w:rsidRPr="002D628C">
        <w:rPr>
          <w:rFonts w:ascii="Verdana" w:hAnsi="Verdana"/>
        </w:rPr>
        <w:t>B. QUANTITATIVE BOUNDARIES</w:t>
      </w:r>
    </w:p>
    <w:p w14:paraId="6CCE16CB" w14:textId="77777777" w:rsidR="002D628C" w:rsidRPr="002D628C" w:rsidRDefault="002D628C" w:rsidP="002D628C">
      <w:pPr>
        <w:rPr>
          <w:rFonts w:ascii="Verdana" w:hAnsi="Verdana"/>
        </w:rPr>
      </w:pPr>
      <w:r w:rsidRPr="002D628C">
        <w:rPr>
          <w:rFonts w:ascii="Verdana" w:hAnsi="Verdana"/>
        </w:rPr>
        <w:t>Example: "The organization will not accept risks that could result in system unavailability exceeding 4 hours for customer-facing applications."</w:t>
      </w:r>
    </w:p>
    <w:p w14:paraId="394D6CB9" w14:textId="77777777" w:rsidR="002D628C" w:rsidRPr="002D628C" w:rsidRDefault="002D628C" w:rsidP="002D628C">
      <w:pPr>
        <w:pStyle w:val="Heading3"/>
        <w:rPr>
          <w:rFonts w:ascii="Verdana" w:hAnsi="Verdana"/>
        </w:rPr>
      </w:pPr>
      <w:r w:rsidRPr="002D628C">
        <w:rPr>
          <w:rFonts w:ascii="Verdana" w:hAnsi="Verdana"/>
        </w:rPr>
        <w:t>C. DECISION GUIDANCE</w:t>
      </w:r>
    </w:p>
    <w:p w14:paraId="6A50BC29" w14:textId="77777777" w:rsidR="002D628C" w:rsidRPr="002D628C" w:rsidRDefault="002D628C" w:rsidP="002D628C">
      <w:pPr>
        <w:rPr>
          <w:rFonts w:ascii="Verdana" w:hAnsi="Verdana"/>
        </w:rPr>
      </w:pPr>
      <w:r w:rsidRPr="002D628C">
        <w:rPr>
          <w:rFonts w:ascii="Verdana" w:hAnsi="Verdana"/>
        </w:rPr>
        <w:t>Example statements for Data Breach/Information Disclosure:</w:t>
      </w:r>
    </w:p>
    <w:p w14:paraId="364F719F" w14:textId="77777777" w:rsidR="002D628C" w:rsidRPr="002D628C" w:rsidRDefault="002D628C" w:rsidP="002D628C">
      <w:pPr>
        <w:rPr>
          <w:rFonts w:ascii="Verdana" w:hAnsi="Verdana"/>
        </w:rPr>
      </w:pPr>
    </w:p>
    <w:p w14:paraId="12D9704C" w14:textId="77777777" w:rsidR="00316122" w:rsidRDefault="00316122">
      <w:pPr>
        <w:rPr>
          <w:rFonts w:ascii="Verdana" w:eastAsiaTheme="majorEastAsia" w:hAnsi="Verdana" w:cstheme="majorBidi"/>
          <w:color w:val="0F4761" w:themeColor="accent1" w:themeShade="BF"/>
          <w:sz w:val="28"/>
          <w:szCs w:val="28"/>
        </w:rPr>
      </w:pPr>
      <w:r>
        <w:rPr>
          <w:rFonts w:ascii="Verdana" w:hAnsi="Verdana"/>
        </w:rPr>
        <w:br w:type="page"/>
      </w:r>
    </w:p>
    <w:p w14:paraId="20C6BCDA" w14:textId="718EEAFA" w:rsidR="002D628C" w:rsidRPr="002D628C" w:rsidRDefault="002D628C" w:rsidP="002D628C">
      <w:pPr>
        <w:pStyle w:val="Heading3"/>
        <w:rPr>
          <w:rFonts w:ascii="Verdana" w:hAnsi="Verdana"/>
        </w:rPr>
      </w:pPr>
      <w:r w:rsidRPr="002D628C">
        <w:rPr>
          <w:rFonts w:ascii="Verdana" w:hAnsi="Verdana"/>
        </w:rPr>
        <w:lastRenderedPageBreak/>
        <w:t>Risk Appetite Statement Example Table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463"/>
        <w:gridCol w:w="5473"/>
        <w:gridCol w:w="3854"/>
      </w:tblGrid>
      <w:tr w:rsidR="002D628C" w:rsidRPr="002D628C" w14:paraId="2EBFF09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47B3BE" w14:textId="77777777" w:rsidR="002D628C" w:rsidRPr="002D628C" w:rsidRDefault="002D628C" w:rsidP="005C3B97">
            <w:pPr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Risk Level</w:t>
            </w:r>
          </w:p>
        </w:tc>
        <w:tc>
          <w:tcPr>
            <w:tcW w:w="0" w:type="auto"/>
            <w:hideMark/>
          </w:tcPr>
          <w:p w14:paraId="70C72A81" w14:textId="77777777" w:rsidR="002D628C" w:rsidRPr="002D628C" w:rsidRDefault="002D628C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Appetite Statement</w:t>
            </w:r>
          </w:p>
        </w:tc>
        <w:tc>
          <w:tcPr>
            <w:tcW w:w="0" w:type="auto"/>
            <w:hideMark/>
          </w:tcPr>
          <w:p w14:paraId="23B696B2" w14:textId="77777777" w:rsidR="002D628C" w:rsidRPr="002D628C" w:rsidRDefault="002D628C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Governance Implications</w:t>
            </w:r>
          </w:p>
        </w:tc>
      </w:tr>
      <w:tr w:rsidR="002D628C" w:rsidRPr="002D628C" w14:paraId="7FB19FC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7CFCF0" w14:textId="77777777" w:rsidR="002D628C" w:rsidRPr="002D628C" w:rsidRDefault="002D628C" w:rsidP="005C3B97">
            <w:pPr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LOW</w:t>
            </w:r>
          </w:p>
        </w:tc>
        <w:tc>
          <w:tcPr>
            <w:tcW w:w="0" w:type="auto"/>
            <w:hideMark/>
          </w:tcPr>
          <w:p w14:paraId="1A004C3F" w14:textId="77777777" w:rsidR="002D628C" w:rsidRPr="002D628C" w:rsidRDefault="002D628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We have minimal tolerance for risks that could result in unauthorized disclosure of sensitive customer data, even if probability is low.</w:t>
            </w:r>
          </w:p>
        </w:tc>
        <w:tc>
          <w:tcPr>
            <w:tcW w:w="0" w:type="auto"/>
            <w:hideMark/>
          </w:tcPr>
          <w:p w14:paraId="1879C430" w14:textId="77777777" w:rsidR="002D628C" w:rsidRPr="002D628C" w:rsidRDefault="002D628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• Requires executive-level approval for any exceptions to data protection controls</w:t>
            </w:r>
          </w:p>
          <w:p w14:paraId="12681ADD" w14:textId="77777777" w:rsidR="002D628C" w:rsidRPr="002D628C" w:rsidRDefault="002D628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• Investments in data protection take priority</w:t>
            </w:r>
          </w:p>
          <w:p w14:paraId="3EDB5751" w14:textId="77777777" w:rsidR="002D628C" w:rsidRPr="002D628C" w:rsidRDefault="002D628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• Compensating controls required for all identified vulnerabilities</w:t>
            </w:r>
          </w:p>
        </w:tc>
      </w:tr>
      <w:tr w:rsidR="002D628C" w:rsidRPr="002D628C" w14:paraId="5C92E51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4AAD71" w14:textId="77777777" w:rsidR="002D628C" w:rsidRPr="002D628C" w:rsidRDefault="002D628C" w:rsidP="005C3B97">
            <w:pPr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MODERATE</w:t>
            </w:r>
          </w:p>
        </w:tc>
        <w:tc>
          <w:tcPr>
            <w:tcW w:w="0" w:type="auto"/>
            <w:hideMark/>
          </w:tcPr>
          <w:p w14:paraId="37ECAB7B" w14:textId="77777777" w:rsidR="002D628C" w:rsidRPr="002D628C" w:rsidRDefault="002D628C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We have limited tolerance for risks that could result in unauthorized disclosure of internal business data that is not customer related.</w:t>
            </w:r>
          </w:p>
        </w:tc>
        <w:tc>
          <w:tcPr>
            <w:tcW w:w="0" w:type="auto"/>
            <w:hideMark/>
          </w:tcPr>
          <w:p w14:paraId="0D7B68F3" w14:textId="77777777" w:rsidR="002D628C" w:rsidRPr="002D628C" w:rsidRDefault="002D628C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• Exceptions may be approved at director level</w:t>
            </w:r>
          </w:p>
          <w:p w14:paraId="5275EEE5" w14:textId="77777777" w:rsidR="002D628C" w:rsidRPr="002D628C" w:rsidRDefault="002D628C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• Risk acceptance requires business case</w:t>
            </w:r>
          </w:p>
          <w:p w14:paraId="115A9F03" w14:textId="77777777" w:rsidR="002D628C" w:rsidRPr="002D628C" w:rsidRDefault="002D628C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• Compensating controls recommended for vulnerabilities</w:t>
            </w:r>
          </w:p>
        </w:tc>
      </w:tr>
      <w:tr w:rsidR="002D628C" w:rsidRPr="002D628C" w14:paraId="1F6C7E0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6AB91C" w14:textId="77777777" w:rsidR="002D628C" w:rsidRPr="002D628C" w:rsidRDefault="002D628C" w:rsidP="005C3B97">
            <w:pPr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HIGH</w:t>
            </w:r>
          </w:p>
        </w:tc>
        <w:tc>
          <w:tcPr>
            <w:tcW w:w="0" w:type="auto"/>
            <w:hideMark/>
          </w:tcPr>
          <w:p w14:paraId="3B4C2B48" w14:textId="77777777" w:rsidR="002D628C" w:rsidRPr="002D628C" w:rsidRDefault="002D628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We accept reasonable risks associated with disclosure of public or marketing information where no regulatory requirements exist.</w:t>
            </w:r>
          </w:p>
        </w:tc>
        <w:tc>
          <w:tcPr>
            <w:tcW w:w="0" w:type="auto"/>
            <w:hideMark/>
          </w:tcPr>
          <w:p w14:paraId="74254743" w14:textId="77777777" w:rsidR="002D628C" w:rsidRPr="002D628C" w:rsidRDefault="002D628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• Exceptions may be approved at manager level</w:t>
            </w:r>
          </w:p>
          <w:p w14:paraId="552BDAF0" w14:textId="77777777" w:rsidR="002D628C" w:rsidRPr="002D628C" w:rsidRDefault="002D628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• Business value may outweigh security concerns</w:t>
            </w:r>
          </w:p>
          <w:p w14:paraId="0E7AFDEF" w14:textId="77777777" w:rsidR="002D628C" w:rsidRPr="002D628C" w:rsidRDefault="002D628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628C">
              <w:rPr>
                <w:rFonts w:ascii="Verdana" w:hAnsi="Verdana"/>
              </w:rPr>
              <w:t>• Baseline controls sufficient</w:t>
            </w:r>
          </w:p>
        </w:tc>
      </w:tr>
    </w:tbl>
    <w:p w14:paraId="202AF7CF" w14:textId="77777777" w:rsidR="002D628C" w:rsidRPr="002D628C" w:rsidRDefault="002D628C" w:rsidP="002D628C">
      <w:pPr>
        <w:pStyle w:val="Caption"/>
        <w:rPr>
          <w:rFonts w:ascii="Verdana" w:hAnsi="Verdana"/>
        </w:rPr>
      </w:pPr>
      <w:r w:rsidRPr="002D628C">
        <w:rPr>
          <w:rFonts w:ascii="Verdana" w:hAnsi="Verdana"/>
        </w:rPr>
        <w:t xml:space="preserve">Table </w:t>
      </w:r>
      <w:r w:rsidRPr="002D628C">
        <w:rPr>
          <w:rFonts w:ascii="Verdana" w:hAnsi="Verdana"/>
        </w:rPr>
        <w:fldChar w:fldCharType="begin"/>
      </w:r>
      <w:r w:rsidRPr="002D628C">
        <w:rPr>
          <w:rFonts w:ascii="Verdana" w:hAnsi="Verdana"/>
        </w:rPr>
        <w:instrText xml:space="preserve"> SEQ Table \* ARABIC </w:instrText>
      </w:r>
      <w:r w:rsidRPr="002D628C">
        <w:rPr>
          <w:rFonts w:ascii="Verdana" w:hAnsi="Verdana"/>
        </w:rPr>
        <w:fldChar w:fldCharType="separate"/>
      </w:r>
      <w:r w:rsidRPr="002D628C">
        <w:rPr>
          <w:rFonts w:ascii="Verdana" w:hAnsi="Verdana"/>
          <w:noProof/>
        </w:rPr>
        <w:t>46</w:t>
      </w:r>
      <w:r w:rsidRPr="002D628C">
        <w:rPr>
          <w:rFonts w:ascii="Verdana" w:hAnsi="Verdana"/>
          <w:noProof/>
        </w:rPr>
        <w:fldChar w:fldCharType="end"/>
      </w:r>
      <w:r w:rsidRPr="002D628C">
        <w:rPr>
          <w:rFonts w:ascii="Verdana" w:hAnsi="Verdana"/>
        </w:rPr>
        <w:t>: Risk Appetite Statement Example</w:t>
      </w:r>
    </w:p>
    <w:p w14:paraId="2B7174F3" w14:textId="77777777" w:rsidR="002D628C" w:rsidRPr="002D628C" w:rsidRDefault="002D628C" w:rsidP="002D628C">
      <w:pPr>
        <w:pStyle w:val="Heading2"/>
        <w:rPr>
          <w:rFonts w:ascii="Verdana" w:hAnsi="Verdana"/>
        </w:rPr>
      </w:pPr>
      <w:r w:rsidRPr="002D628C">
        <w:rPr>
          <w:rFonts w:ascii="Verdana" w:hAnsi="Verdana"/>
        </w:rPr>
        <w:t>STEP 4: ALIGN WITH BUSINESS UNITS</w:t>
      </w:r>
    </w:p>
    <w:p w14:paraId="3AA06352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Review draft statements with business unit leaders</w:t>
      </w:r>
    </w:p>
    <w:p w14:paraId="360F20D9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Validate that statements reflect business priorities</w:t>
      </w:r>
    </w:p>
    <w:p w14:paraId="7D6BF96C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Adjust language for clarity and actionability</w:t>
      </w:r>
    </w:p>
    <w:p w14:paraId="324CA736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Identify potential implementation challenges</w:t>
      </w:r>
    </w:p>
    <w:p w14:paraId="41B78993" w14:textId="77777777" w:rsidR="002D628C" w:rsidRPr="002D628C" w:rsidRDefault="002D628C" w:rsidP="002D628C">
      <w:pPr>
        <w:pStyle w:val="Heading2"/>
        <w:rPr>
          <w:rFonts w:ascii="Verdana" w:hAnsi="Verdana"/>
        </w:rPr>
      </w:pPr>
      <w:r w:rsidRPr="002D628C">
        <w:rPr>
          <w:rFonts w:ascii="Verdana" w:hAnsi="Verdana"/>
        </w:rPr>
        <w:t>STEP 5: DOCUMENT AND APPROVE</w:t>
      </w:r>
    </w:p>
    <w:p w14:paraId="3925A6C4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Finalize appetite statements for each risk category</w:t>
      </w:r>
    </w:p>
    <w:p w14:paraId="747B894A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Develop supporting metrics and thresholds</w:t>
      </w:r>
    </w:p>
    <w:p w14:paraId="424EBECA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Present to board for approval</w:t>
      </w:r>
    </w:p>
    <w:p w14:paraId="61FA1C3B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Incorporate into security policies and standards</w:t>
      </w:r>
    </w:p>
    <w:p w14:paraId="5319DCE6" w14:textId="77777777" w:rsidR="002D628C" w:rsidRPr="002D628C" w:rsidRDefault="002D628C" w:rsidP="002D628C">
      <w:pPr>
        <w:pStyle w:val="Heading2"/>
        <w:rPr>
          <w:rFonts w:ascii="Verdana" w:hAnsi="Verdana"/>
        </w:rPr>
      </w:pPr>
      <w:r w:rsidRPr="002D628C">
        <w:rPr>
          <w:rFonts w:ascii="Verdana" w:hAnsi="Verdana"/>
        </w:rPr>
        <w:t>STEP 6: OPERATIONALIZE AND MONITOR</w:t>
      </w:r>
    </w:p>
    <w:p w14:paraId="223C38C0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Communicate approved statements to all stakeholders</w:t>
      </w:r>
    </w:p>
    <w:p w14:paraId="7B59E561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Train decision-makers on applying statements</w:t>
      </w:r>
    </w:p>
    <w:p w14:paraId="42C1ACF4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Track decisions against appetite statements</w:t>
      </w:r>
    </w:p>
    <w:p w14:paraId="1B14EA14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Report deviations to appropriate governance bodies</w:t>
      </w:r>
    </w:p>
    <w:p w14:paraId="0C64C827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Review and update statements annually</w:t>
      </w:r>
    </w:p>
    <w:p w14:paraId="115F2D34" w14:textId="77777777" w:rsidR="002D628C" w:rsidRPr="002D628C" w:rsidRDefault="002D628C" w:rsidP="002D628C">
      <w:pPr>
        <w:pStyle w:val="Heading2"/>
        <w:rPr>
          <w:rFonts w:ascii="Verdana" w:hAnsi="Verdana"/>
        </w:rPr>
      </w:pPr>
      <w:r w:rsidRPr="002D628C">
        <w:rPr>
          <w:rFonts w:ascii="Verdana" w:hAnsi="Verdana"/>
        </w:rPr>
        <w:t xml:space="preserve">IMPLEMENTATION TIPS: </w:t>
      </w:r>
    </w:p>
    <w:p w14:paraId="0B55DDBD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Use consistent language across risk categories to avoid confusion</w:t>
      </w:r>
    </w:p>
    <w:p w14:paraId="782857D3" w14:textId="77777777" w:rsidR="002D628C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Balance precision with flexibility - statements should guide decisions without being overly restrictive</w:t>
      </w:r>
    </w:p>
    <w:p w14:paraId="62A4D021" w14:textId="73A86351" w:rsidR="005A3C36" w:rsidRPr="002D628C" w:rsidRDefault="002D628C" w:rsidP="002D628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628C">
        <w:rPr>
          <w:rFonts w:ascii="Verdana" w:hAnsi="Verdana"/>
        </w:rPr>
        <w:t>Ensure statements address both risk tolerance ("what") and risk appetite ("how much")</w:t>
      </w:r>
    </w:p>
    <w:sectPr w:rsidR="005A3C36" w:rsidRPr="002D628C" w:rsidSect="0097167D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0D2CB" w14:textId="77777777" w:rsidR="006E1181" w:rsidRDefault="006E1181" w:rsidP="005A3C36">
      <w:pPr>
        <w:spacing w:after="0" w:line="240" w:lineRule="auto"/>
      </w:pPr>
      <w:r>
        <w:separator/>
      </w:r>
    </w:p>
  </w:endnote>
  <w:endnote w:type="continuationSeparator" w:id="0">
    <w:p w14:paraId="4175D145" w14:textId="77777777" w:rsidR="006E1181" w:rsidRDefault="006E1181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3295" w14:textId="16329263" w:rsidR="005A3C36" w:rsidRPr="005A3C36" w:rsidRDefault="003704F3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AB3B" w14:textId="77777777" w:rsidR="006E1181" w:rsidRDefault="006E1181" w:rsidP="005A3C36">
      <w:pPr>
        <w:spacing w:after="0" w:line="240" w:lineRule="auto"/>
      </w:pPr>
      <w:r>
        <w:separator/>
      </w:r>
    </w:p>
  </w:footnote>
  <w:footnote w:type="continuationSeparator" w:id="0">
    <w:p w14:paraId="6354FA00" w14:textId="77777777" w:rsidR="006E1181" w:rsidRDefault="006E1181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A3E4" w14:textId="3FF9D814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2D628C">
      <w:rPr>
        <w:rFonts w:ascii="Verdana" w:hAnsi="Verdana"/>
      </w:rPr>
      <w:t>7</w:t>
    </w:r>
    <w:r>
      <w:rPr>
        <w:rFonts w:ascii="Verdana" w:hAnsi="Verdana"/>
      </w:rPr>
      <w:t xml:space="preserve"> - Kayne McGladrey, CISSP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8C"/>
    <w:rsid w:val="000756A1"/>
    <w:rsid w:val="002A6616"/>
    <w:rsid w:val="002B75FE"/>
    <w:rsid w:val="002D628C"/>
    <w:rsid w:val="00316122"/>
    <w:rsid w:val="003704F3"/>
    <w:rsid w:val="004B29F0"/>
    <w:rsid w:val="00543E0E"/>
    <w:rsid w:val="005A3C36"/>
    <w:rsid w:val="006E1181"/>
    <w:rsid w:val="00740FA9"/>
    <w:rsid w:val="007C7472"/>
    <w:rsid w:val="0097167D"/>
    <w:rsid w:val="00A80303"/>
    <w:rsid w:val="00B56A81"/>
    <w:rsid w:val="00EF110D"/>
    <w:rsid w:val="00FA592B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D2755"/>
  <w15:chartTrackingRefBased/>
  <w15:docId w15:val="{48652F11-A408-4E8B-9DA2-F11F7BBF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8C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2D628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2D628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704F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04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>Chapter #: (NAME)</vt:lpstr>
      <vt:lpstr>Risk Appetite Statement Development Framework</vt:lpstr>
      <vt:lpstr>    STEP 1: UNDERSTAND BUSINESS CONTEXT</vt:lpstr>
      <vt:lpstr>    STEP 2: DEFINE RISK CATEGORIES</vt:lpstr>
      <vt:lpstr>    STEP 3: DEVELOP APPETITE STATEMENTS</vt:lpstr>
      <vt:lpstr>        A. QUALITATIVE DESCRIPTION</vt:lpstr>
      <vt:lpstr>        B. QUANTITATIVE BOUNDARIES</vt:lpstr>
      <vt:lpstr>        C. DECISION GUIDANCE</vt:lpstr>
      <vt:lpstr>        Risk Appetite Statement Example Table</vt:lpstr>
      <vt:lpstr>    STEP 4: ALIGN WITH BUSINESS UNITS</vt:lpstr>
      <vt:lpstr>    STEP 5: DOCUMENT AND APPROVE</vt:lpstr>
      <vt:lpstr>    STEP 6: OPERATIONALIZE AND MONITOR</vt:lpstr>
      <vt:lpstr>    IMPLEMENTATION TIPS: </vt:lpstr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7: Risk Appetite Statement Development Framework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3</cp:revision>
  <dcterms:created xsi:type="dcterms:W3CDTF">2025-08-25T18:23:00Z</dcterms:created>
  <dcterms:modified xsi:type="dcterms:W3CDTF">2026-05-19T20:03:00Z</dcterms:modified>
</cp:coreProperties>
</file>