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A16B1" w14:textId="77777777" w:rsidR="00FC72A2" w:rsidRPr="00FC72A2" w:rsidRDefault="00FC72A2" w:rsidP="00FC72A2">
      <w:pPr>
        <w:pStyle w:val="Heading1"/>
        <w:rPr>
          <w:rFonts w:ascii="Verdana" w:hAnsi="Verdana"/>
        </w:rPr>
      </w:pPr>
      <w:r w:rsidRPr="00FC72A2">
        <w:rPr>
          <w:rFonts w:ascii="Verdana" w:hAnsi="Verdana"/>
        </w:rPr>
        <w:t>Exercise: Developing a Risk Awareness Campaign</w:t>
      </w:r>
    </w:p>
    <w:p w14:paraId="21654A10" w14:textId="77777777" w:rsidR="00FC72A2" w:rsidRPr="00FC72A2" w:rsidRDefault="00FC72A2" w:rsidP="00FC72A2">
      <w:pPr>
        <w:rPr>
          <w:rFonts w:ascii="Verdana" w:hAnsi="Verdana"/>
        </w:rPr>
      </w:pPr>
      <w:r w:rsidRPr="00FC72A2">
        <w:rPr>
          <w:rFonts w:ascii="Verdana" w:hAnsi="Verdana"/>
        </w:rPr>
        <w:t>This step-by-step exercise helps design targeted risk awareness initiatives:</w:t>
      </w:r>
    </w:p>
    <w:p w14:paraId="45D6FF69" w14:textId="77777777" w:rsidR="00FC72A2" w:rsidRPr="00FC72A2" w:rsidRDefault="00FC72A2" w:rsidP="00FC72A2">
      <w:pPr>
        <w:rPr>
          <w:rFonts w:ascii="Verdana" w:hAnsi="Verdana"/>
        </w:rPr>
      </w:pPr>
      <w:r w:rsidRPr="00FC72A2">
        <w:rPr>
          <w:rFonts w:ascii="Verdana" w:hAnsi="Verdana"/>
        </w:rPr>
        <w:t>1.</w:t>
      </w:r>
      <w:r w:rsidRPr="00FC72A2">
        <w:rPr>
          <w:rFonts w:ascii="Verdana" w:hAnsi="Verdana"/>
        </w:rPr>
        <w:tab/>
        <w:t>Define campaign objectives:</w:t>
      </w:r>
    </w:p>
    <w:p w14:paraId="64113071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Identify specific behaviors you want to encourage or discourage</w:t>
      </w:r>
    </w:p>
    <w:p w14:paraId="027C3BF7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Establish measurable outcome goals (e.g., 50% increase in reporting)</w:t>
      </w:r>
    </w:p>
    <w:p w14:paraId="73152F32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Define success criteria and evaluation methods</w:t>
      </w:r>
    </w:p>
    <w:p w14:paraId="0EC0816A" w14:textId="77777777" w:rsidR="00FC72A2" w:rsidRPr="00FC72A2" w:rsidRDefault="00FC72A2" w:rsidP="00FC72A2">
      <w:pPr>
        <w:rPr>
          <w:rFonts w:ascii="Verdana" w:hAnsi="Verdana"/>
        </w:rPr>
      </w:pPr>
      <w:r w:rsidRPr="00FC72A2">
        <w:rPr>
          <w:rFonts w:ascii="Verdana" w:hAnsi="Verdana"/>
        </w:rPr>
        <w:t>2.</w:t>
      </w:r>
      <w:r w:rsidRPr="00FC72A2">
        <w:rPr>
          <w:rFonts w:ascii="Verdana" w:hAnsi="Verdana"/>
        </w:rPr>
        <w:tab/>
        <w:t>Segment your audience:</w:t>
      </w:r>
    </w:p>
    <w:p w14:paraId="0A316773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Identify primary audience groups with different needs</w:t>
      </w:r>
    </w:p>
    <w:p w14:paraId="245A5323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Map their current awareness levels and specific risk exposures</w:t>
      </w:r>
    </w:p>
    <w:p w14:paraId="38342D92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Determine motivators and barriers for each group</w:t>
      </w:r>
    </w:p>
    <w:p w14:paraId="44C51B4C" w14:textId="77777777" w:rsidR="00FC72A2" w:rsidRPr="00FC72A2" w:rsidRDefault="00FC72A2" w:rsidP="00FC72A2">
      <w:pPr>
        <w:rPr>
          <w:rFonts w:ascii="Verdana" w:hAnsi="Verdana"/>
        </w:rPr>
      </w:pPr>
      <w:r w:rsidRPr="00FC72A2">
        <w:rPr>
          <w:rFonts w:ascii="Verdana" w:hAnsi="Verdana"/>
        </w:rPr>
        <w:t>3.</w:t>
      </w:r>
      <w:r w:rsidRPr="00FC72A2">
        <w:rPr>
          <w:rFonts w:ascii="Verdana" w:hAnsi="Verdana"/>
        </w:rPr>
        <w:tab/>
        <w:t>Develop tailored messaging:</w:t>
      </w:r>
    </w:p>
    <w:p w14:paraId="58B5039B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Create core messages addressing each group's specific risks</w:t>
      </w:r>
    </w:p>
    <w:p w14:paraId="335838B6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Adapt delivery methods to each group's preferences</w:t>
      </w:r>
    </w:p>
    <w:p w14:paraId="5A846B11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Incorporate real examples relevant to each audience</w:t>
      </w:r>
    </w:p>
    <w:p w14:paraId="250C59EC" w14:textId="77777777" w:rsidR="00FC72A2" w:rsidRPr="00FC72A2" w:rsidRDefault="00FC72A2" w:rsidP="00FC72A2">
      <w:pPr>
        <w:rPr>
          <w:rFonts w:ascii="Verdana" w:hAnsi="Verdana"/>
        </w:rPr>
      </w:pPr>
      <w:r w:rsidRPr="00FC72A2">
        <w:rPr>
          <w:rFonts w:ascii="Verdana" w:hAnsi="Verdana"/>
        </w:rPr>
        <w:t>4.</w:t>
      </w:r>
      <w:r w:rsidRPr="00FC72A2">
        <w:rPr>
          <w:rFonts w:ascii="Verdana" w:hAnsi="Verdana"/>
        </w:rPr>
        <w:tab/>
        <w:t>Create a multi-channel communication plan:</w:t>
      </w:r>
    </w:p>
    <w:p w14:paraId="65E2780B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Select appropriate communication channels for each audience</w:t>
      </w:r>
    </w:p>
    <w:p w14:paraId="3C241883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Schedule communications to avoid overload</w:t>
      </w:r>
    </w:p>
    <w:p w14:paraId="4FCD1D40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Plan for reinforcement through different formats</w:t>
      </w:r>
    </w:p>
    <w:p w14:paraId="0AE7FAEB" w14:textId="77777777" w:rsidR="00FC72A2" w:rsidRPr="00FC72A2" w:rsidRDefault="00FC72A2" w:rsidP="00FC72A2">
      <w:pPr>
        <w:rPr>
          <w:rFonts w:ascii="Verdana" w:hAnsi="Verdana"/>
        </w:rPr>
      </w:pPr>
      <w:r w:rsidRPr="00FC72A2">
        <w:rPr>
          <w:rFonts w:ascii="Verdana" w:hAnsi="Verdana"/>
        </w:rPr>
        <w:t>5.</w:t>
      </w:r>
      <w:r w:rsidRPr="00FC72A2">
        <w:rPr>
          <w:rFonts w:ascii="Verdana" w:hAnsi="Verdana"/>
        </w:rPr>
        <w:tab/>
        <w:t>Establish measurement approach:</w:t>
      </w:r>
    </w:p>
    <w:p w14:paraId="0091B49C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Define key metrics aligned with behavioral objectives</w:t>
      </w:r>
    </w:p>
    <w:p w14:paraId="70CA70BA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Create baseline measurements before campaign launch</w:t>
      </w:r>
    </w:p>
    <w:p w14:paraId="21538848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Establish regular measurement points to track progress</w:t>
      </w:r>
    </w:p>
    <w:p w14:paraId="1CA00927" w14:textId="77777777" w:rsidR="00FC72A2" w:rsidRPr="00FC72A2" w:rsidRDefault="00FC72A2" w:rsidP="00FC72A2">
      <w:pPr>
        <w:rPr>
          <w:rFonts w:ascii="Verdana" w:hAnsi="Verdana"/>
        </w:rPr>
      </w:pPr>
      <w:r w:rsidRPr="00FC72A2">
        <w:rPr>
          <w:rFonts w:ascii="Verdana" w:hAnsi="Verdana"/>
        </w:rPr>
        <w:t>6.</w:t>
      </w:r>
      <w:r w:rsidRPr="00FC72A2">
        <w:rPr>
          <w:rFonts w:ascii="Verdana" w:hAnsi="Verdana"/>
        </w:rPr>
        <w:tab/>
        <w:t>Implement, measure, and refine:</w:t>
      </w:r>
    </w:p>
    <w:p w14:paraId="428BCC39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Launch campaign with high-visibility kickoff</w:t>
      </w:r>
    </w:p>
    <w:p w14:paraId="0826833F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Collect feedback and measure early results</w:t>
      </w:r>
    </w:p>
    <w:p w14:paraId="4885C7E0" w14:textId="77777777" w:rsidR="00FC72A2" w:rsidRPr="00FC72A2" w:rsidRDefault="00FC72A2" w:rsidP="00FC72A2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00FC72A2">
        <w:rPr>
          <w:rFonts w:ascii="Verdana" w:hAnsi="Verdana"/>
        </w:rPr>
        <w:t>Adjust approach based on initial outcomes</w:t>
      </w:r>
    </w:p>
    <w:p w14:paraId="4F51BADC" w14:textId="77777777" w:rsidR="00FC72A2" w:rsidRPr="00FC72A2" w:rsidRDefault="00FC72A2" w:rsidP="00FC72A2">
      <w:pPr>
        <w:rPr>
          <w:rFonts w:ascii="Verdana" w:hAnsi="Verdana"/>
        </w:rPr>
      </w:pPr>
      <w:r w:rsidRPr="00FC72A2">
        <w:rPr>
          <w:rFonts w:ascii="Verdana" w:hAnsi="Verdana"/>
        </w:rPr>
        <w:t>This structured approach creates awareness campaigns that drive actual behavior change rather than merely transmitting information.</w:t>
      </w:r>
    </w:p>
    <w:p w14:paraId="0CAD69A3" w14:textId="77777777" w:rsidR="005A3C36" w:rsidRPr="00FC72A2" w:rsidRDefault="005A3C36" w:rsidP="00FC72A2">
      <w:pPr>
        <w:rPr>
          <w:rFonts w:ascii="Verdana" w:hAnsi="Verdana"/>
        </w:rPr>
      </w:pPr>
    </w:p>
    <w:sectPr w:rsidR="005A3C36" w:rsidRPr="00FC72A2" w:rsidSect="009716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96566" w14:textId="77777777" w:rsidR="00F0086B" w:rsidRDefault="00F0086B" w:rsidP="005A3C36">
      <w:pPr>
        <w:spacing w:after="0" w:line="240" w:lineRule="auto"/>
      </w:pPr>
      <w:r>
        <w:separator/>
      </w:r>
    </w:p>
  </w:endnote>
  <w:endnote w:type="continuationSeparator" w:id="0">
    <w:p w14:paraId="78A99D72" w14:textId="77777777" w:rsidR="00F0086B" w:rsidRDefault="00F0086B" w:rsidP="005A3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3B33A" w14:textId="77777777" w:rsidR="00041578" w:rsidRDefault="000415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174CB" w14:textId="46FE7226" w:rsidR="005A3C36" w:rsidRPr="005A3C36" w:rsidRDefault="00041578">
    <w:pPr>
      <w:pStyle w:val="Footer"/>
      <w:rPr>
        <w:rFonts w:ascii="Verdana" w:hAnsi="Verdana"/>
      </w:rPr>
    </w:pPr>
    <w:r w:rsidRPr="005A3C36">
      <w:rPr>
        <w:rFonts w:ascii="Verdana" w:hAnsi="Verdana"/>
      </w:rPr>
      <w:t>©</w:t>
    </w:r>
    <w:hyperlink r:id="rId1" w:history="1">
      <w:r w:rsidRPr="00A77713">
        <w:rPr>
          <w:rStyle w:val="Hyperlink"/>
          <w:rFonts w:ascii="Verdana" w:hAnsi="Verdana"/>
        </w:rPr>
        <w:t>Kayne McGladrey</w:t>
      </w:r>
    </w:hyperlink>
    <w:r w:rsidRPr="005A3C36">
      <w:rPr>
        <w:rFonts w:ascii="Verdana" w:hAnsi="Verdana"/>
      </w:rPr>
      <w:t xml:space="preserve"> – </w:t>
    </w:r>
    <w:hyperlink r:id="rId2" w:history="1">
      <w:r w:rsidRPr="00A96ED3">
        <w:rPr>
          <w:rStyle w:val="Hyperlink"/>
          <w:rFonts w:ascii="Verdana" w:hAnsi="Verdana"/>
        </w:rPr>
        <w:t>Get the fu</w:t>
      </w:r>
      <w:r w:rsidRPr="00A96ED3">
        <w:rPr>
          <w:rStyle w:val="Hyperlink"/>
          <w:rFonts w:ascii="Verdana" w:hAnsi="Verdana"/>
        </w:rPr>
        <w:t>l</w:t>
      </w:r>
      <w:r w:rsidRPr="00A96ED3">
        <w:rPr>
          <w:rStyle w:val="Hyperlink"/>
          <w:rFonts w:ascii="Verdana" w:hAnsi="Verdana"/>
        </w:rPr>
        <w:t>l book</w:t>
      </w:r>
      <w:r w:rsidRPr="00A96ED3">
        <w:rPr>
          <w:rStyle w:val="Hyperlink"/>
          <w:rFonts w:ascii="Verdana" w:hAnsi="Verdana"/>
        </w:rPr>
        <w:tab/>
      </w:r>
    </w:hyperlink>
    <w:r>
      <w:rPr>
        <w:rFonts w:ascii="Verdana" w:hAnsi="Verdana"/>
      </w:rPr>
      <w:tab/>
    </w:r>
    <w:r w:rsidRPr="005A3C36">
      <w:rPr>
        <w:rFonts w:ascii="Verdana" w:hAnsi="Verdana"/>
      </w:rPr>
      <w:tab/>
    </w:r>
    <w:r w:rsidRPr="005A3C36">
      <w:rPr>
        <w:rFonts w:ascii="Verdana" w:hAnsi="Verdana"/>
      </w:rPr>
      <w:fldChar w:fldCharType="begin"/>
    </w:r>
    <w:r w:rsidRPr="005A3C36">
      <w:rPr>
        <w:rFonts w:ascii="Verdana" w:hAnsi="Verdana"/>
      </w:rPr>
      <w:instrText xml:space="preserve"> PAGE   \* MERGEFORMAT </w:instrText>
    </w:r>
    <w:r w:rsidRPr="005A3C36">
      <w:rPr>
        <w:rFonts w:ascii="Verdana" w:hAnsi="Verdana"/>
      </w:rPr>
      <w:fldChar w:fldCharType="separate"/>
    </w:r>
    <w:r>
      <w:rPr>
        <w:rFonts w:ascii="Verdana" w:hAnsi="Verdana"/>
      </w:rPr>
      <w:t>1</w:t>
    </w:r>
    <w:r w:rsidRPr="005A3C36">
      <w:rPr>
        <w:rFonts w:ascii="Verdana" w:hAnsi="Verdana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808DB" w14:textId="77777777" w:rsidR="00041578" w:rsidRDefault="000415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27DC9" w14:textId="77777777" w:rsidR="00F0086B" w:rsidRDefault="00F0086B" w:rsidP="005A3C36">
      <w:pPr>
        <w:spacing w:after="0" w:line="240" w:lineRule="auto"/>
      </w:pPr>
      <w:r>
        <w:separator/>
      </w:r>
    </w:p>
  </w:footnote>
  <w:footnote w:type="continuationSeparator" w:id="0">
    <w:p w14:paraId="7DF384FB" w14:textId="77777777" w:rsidR="00F0086B" w:rsidRDefault="00F0086B" w:rsidP="005A3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2D574" w14:textId="77777777" w:rsidR="00041578" w:rsidRDefault="000415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D1977" w14:textId="06E7BF51" w:rsidR="005A3C36" w:rsidRPr="005A3C36" w:rsidRDefault="005A3C36">
    <w:pPr>
      <w:pStyle w:val="Header"/>
      <w:rPr>
        <w:rFonts w:ascii="Verdana" w:hAnsi="Verdana"/>
      </w:rPr>
    </w:pPr>
    <w:r>
      <w:rPr>
        <w:rFonts w:ascii="Verdana" w:hAnsi="Verdana"/>
      </w:rPr>
      <w:t xml:space="preserve">Cyber Risk is a Myth – Chapter </w:t>
    </w:r>
    <w:r w:rsidR="00FC72A2">
      <w:rPr>
        <w:rFonts w:ascii="Verdana" w:hAnsi="Verdana"/>
      </w:rPr>
      <w:t>8</w:t>
    </w:r>
    <w:r>
      <w:rPr>
        <w:rFonts w:ascii="Verdana" w:hAnsi="Verdana"/>
      </w:rPr>
      <w:t xml:space="preserve"> - Kayne McGladrey, CISSP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AE078" w14:textId="77777777" w:rsidR="00041578" w:rsidRDefault="000415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FC5B79"/>
    <w:multiLevelType w:val="hybridMultilevel"/>
    <w:tmpl w:val="7B642CD0"/>
    <w:lvl w:ilvl="0" w:tplc="9DA07E1E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652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2A2"/>
    <w:rsid w:val="0000313B"/>
    <w:rsid w:val="00041578"/>
    <w:rsid w:val="000756A1"/>
    <w:rsid w:val="002A6616"/>
    <w:rsid w:val="002A79A9"/>
    <w:rsid w:val="002B75FE"/>
    <w:rsid w:val="004B29F0"/>
    <w:rsid w:val="00543E0E"/>
    <w:rsid w:val="005A3C36"/>
    <w:rsid w:val="007C7472"/>
    <w:rsid w:val="0097167D"/>
    <w:rsid w:val="00A14822"/>
    <w:rsid w:val="00A80303"/>
    <w:rsid w:val="00B56A81"/>
    <w:rsid w:val="00EF110D"/>
    <w:rsid w:val="00F0086B"/>
    <w:rsid w:val="00FC72A2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2D3F8C"/>
  <w15:chartTrackingRefBased/>
  <w15:docId w15:val="{F6F3F584-43BD-48FA-A482-4D9564EC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2A2"/>
  </w:style>
  <w:style w:type="paragraph" w:styleId="Heading1">
    <w:name w:val="heading 1"/>
    <w:basedOn w:val="Normal"/>
    <w:next w:val="Normal"/>
    <w:link w:val="Heading1Char"/>
    <w:uiPriority w:val="9"/>
    <w:qFormat/>
    <w:rsid w:val="005A3C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C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3C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C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C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C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C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C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C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C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C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C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C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C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C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C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C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C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C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C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C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A3C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C36"/>
  </w:style>
  <w:style w:type="paragraph" w:styleId="Footer">
    <w:name w:val="footer"/>
    <w:basedOn w:val="Normal"/>
    <w:link w:val="FooterChar"/>
    <w:uiPriority w:val="99"/>
    <w:unhideWhenUsed/>
    <w:rsid w:val="005A3C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C36"/>
  </w:style>
  <w:style w:type="character" w:styleId="Hyperlink">
    <w:name w:val="Hyperlink"/>
    <w:basedOn w:val="DefaultParagraphFont"/>
    <w:uiPriority w:val="99"/>
    <w:unhideWhenUsed/>
    <w:rsid w:val="00041578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157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routledge.com/Cyber-Risk-is-a-Myth-A-Business-Approach-to-Integrated-Risk-Management/McGladrey/p/book/9781041249054" TargetMode="External"/><Relationship Id="rId1" Type="http://schemas.openxmlformats.org/officeDocument/2006/relationships/hyperlink" Target="https://kaynemcgladrey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yne\Documents\Custom%20Office%20Templates\Downloadable%20Resource%20-%20better%20margin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Downloadable Resource - better margins.dotx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Chapter #: (NAME)</vt:lpstr>
      <vt:lpstr>Exercise: Developing a Risk Awareness Campaign</vt:lpstr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8: Exercise: Developing a Risk Awareness Campaign</dc:title>
  <dc:subject>Cybersecurity, Risk Management</dc:subject>
  <dc:creator>Kayne McGladrey</dc:creator>
  <cp:keywords/>
  <dc:description>From the book "Cyber Risk is a Myth" by Kayne McGladrey</dc:description>
  <cp:lastModifiedBy>Kayne McGladrey</cp:lastModifiedBy>
  <cp:revision>2</cp:revision>
  <dcterms:created xsi:type="dcterms:W3CDTF">2025-08-25T23:08:00Z</dcterms:created>
  <dcterms:modified xsi:type="dcterms:W3CDTF">2026-05-19T20:08:00Z</dcterms:modified>
</cp:coreProperties>
</file>