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A4009" w14:textId="77777777" w:rsidR="005C1875" w:rsidRPr="005C1875" w:rsidRDefault="005C1875" w:rsidP="005C1875">
      <w:pPr>
        <w:pStyle w:val="Heading1"/>
        <w:rPr>
          <w:rFonts w:ascii="Verdana" w:hAnsi="Verdana"/>
        </w:rPr>
      </w:pPr>
      <w:r w:rsidRPr="005C1875">
        <w:rPr>
          <w:rFonts w:ascii="Verdana" w:hAnsi="Verdana"/>
        </w:rPr>
        <w:t>Risk Culture Maturity Assessment</w:t>
      </w:r>
    </w:p>
    <w:p w14:paraId="645769AA" w14:textId="77777777" w:rsidR="005C1875" w:rsidRPr="005C1875" w:rsidRDefault="005C1875" w:rsidP="005C187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5C1875">
        <w:rPr>
          <w:rFonts w:ascii="Verdana" w:hAnsi="Verdana"/>
          <w:b/>
          <w:bCs/>
        </w:rPr>
        <w:t>PURPOSE:</w:t>
      </w:r>
      <w:r w:rsidRPr="005C1875">
        <w:rPr>
          <w:rFonts w:ascii="Verdana" w:hAnsi="Verdana"/>
        </w:rPr>
        <w:t xml:space="preserve"> Provides a structured approach to evaluate your organization's current risk culture maturity level, identify gaps, and prioritize specific improvement initiatives.</w:t>
      </w:r>
    </w:p>
    <w:p w14:paraId="087D9B24" w14:textId="77777777" w:rsidR="005C1875" w:rsidRPr="005C1875" w:rsidRDefault="005C1875" w:rsidP="005C187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5C1875">
        <w:rPr>
          <w:rFonts w:ascii="Verdana" w:hAnsi="Verdana"/>
          <w:b/>
          <w:bCs/>
        </w:rPr>
        <w:t xml:space="preserve">WHEN TO USE: </w:t>
      </w:r>
      <w:r w:rsidRPr="005C1875">
        <w:rPr>
          <w:rFonts w:ascii="Verdana" w:hAnsi="Verdana"/>
        </w:rPr>
        <w:t>When beginning risk culture transformation initiatives, during annual security program assessments, or after significant organizational changes.</w:t>
      </w:r>
    </w:p>
    <w:p w14:paraId="55B57BA2" w14:textId="77777777" w:rsidR="005C1875" w:rsidRPr="005C1875" w:rsidRDefault="005C1875" w:rsidP="005C1875">
      <w:pPr>
        <w:pStyle w:val="Heading2"/>
        <w:rPr>
          <w:rFonts w:ascii="Verdana" w:hAnsi="Verdana"/>
        </w:rPr>
      </w:pPr>
      <w:r w:rsidRPr="005C1875">
        <w:rPr>
          <w:rFonts w:ascii="Verdana" w:hAnsi="Verdana"/>
        </w:rPr>
        <w:t>PART 1: Maturity Assessment</w:t>
      </w:r>
    </w:p>
    <w:p w14:paraId="2E54E19A" w14:textId="77777777" w:rsidR="005C1875" w:rsidRPr="005C1875" w:rsidRDefault="005C1875" w:rsidP="005C1875">
      <w:pPr>
        <w:rPr>
          <w:rFonts w:ascii="Verdana" w:hAnsi="Verdana"/>
        </w:rPr>
      </w:pPr>
      <w:r w:rsidRPr="005C1875">
        <w:rPr>
          <w:rFonts w:ascii="Verdana" w:hAnsi="Verdana"/>
        </w:rPr>
        <w:t xml:space="preserve">Rate each dimension on a scale of 1-5, where: </w:t>
      </w:r>
    </w:p>
    <w:p w14:paraId="095F8C11" w14:textId="77777777" w:rsidR="005C1875" w:rsidRPr="005C1875" w:rsidRDefault="005C1875" w:rsidP="005C1875">
      <w:pPr>
        <w:rPr>
          <w:rFonts w:ascii="Verdana" w:hAnsi="Verdana"/>
        </w:rPr>
      </w:pPr>
      <w:r w:rsidRPr="005C1875">
        <w:rPr>
          <w:rFonts w:ascii="Verdana" w:hAnsi="Verdana"/>
        </w:rPr>
        <w:t xml:space="preserve">1 = Naïve (unaware/reactive) </w:t>
      </w:r>
    </w:p>
    <w:p w14:paraId="318D27B7" w14:textId="77777777" w:rsidR="005C1875" w:rsidRPr="005C1875" w:rsidRDefault="005C1875" w:rsidP="005C1875">
      <w:pPr>
        <w:rPr>
          <w:rFonts w:ascii="Verdana" w:hAnsi="Verdana"/>
        </w:rPr>
      </w:pPr>
      <w:r w:rsidRPr="005C1875">
        <w:rPr>
          <w:rFonts w:ascii="Verdana" w:hAnsi="Verdana"/>
        </w:rPr>
        <w:t xml:space="preserve">2 = Novice (aware but early implementation) </w:t>
      </w:r>
    </w:p>
    <w:p w14:paraId="0F397286" w14:textId="77777777" w:rsidR="005C1875" w:rsidRPr="005C1875" w:rsidRDefault="005C1875" w:rsidP="005C1875">
      <w:pPr>
        <w:rPr>
          <w:rFonts w:ascii="Verdana" w:hAnsi="Verdana"/>
        </w:rPr>
      </w:pPr>
      <w:r w:rsidRPr="005C1875">
        <w:rPr>
          <w:rFonts w:ascii="Verdana" w:hAnsi="Verdana"/>
        </w:rPr>
        <w:t xml:space="preserve">3 = Normalized (established processes requiring management) </w:t>
      </w:r>
    </w:p>
    <w:p w14:paraId="29EB2665" w14:textId="77777777" w:rsidR="005C1875" w:rsidRPr="005C1875" w:rsidRDefault="005C1875" w:rsidP="005C1875">
      <w:pPr>
        <w:rPr>
          <w:rFonts w:ascii="Verdana" w:hAnsi="Verdana"/>
        </w:rPr>
      </w:pPr>
      <w:r w:rsidRPr="005C1875">
        <w:rPr>
          <w:rFonts w:ascii="Verdana" w:hAnsi="Verdana"/>
        </w:rPr>
        <w:t xml:space="preserve">4 = Natural (risk awareness embedded in organizational thinking) </w:t>
      </w:r>
    </w:p>
    <w:p w14:paraId="3D2CAE82" w14:textId="77777777" w:rsidR="005C1875" w:rsidRPr="005C1875" w:rsidRDefault="005C1875" w:rsidP="005C1875">
      <w:pPr>
        <w:rPr>
          <w:rFonts w:ascii="Verdana" w:hAnsi="Verdana"/>
        </w:rPr>
      </w:pPr>
      <w:r w:rsidRPr="005C1875">
        <w:rPr>
          <w:rFonts w:ascii="Verdana" w:hAnsi="Verdana"/>
        </w:rPr>
        <w:t>5 = Leading (risk considerations drive business decisions)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652"/>
        <w:gridCol w:w="4551"/>
        <w:gridCol w:w="1157"/>
        <w:gridCol w:w="2430"/>
      </w:tblGrid>
      <w:tr w:rsidR="005C1875" w:rsidRPr="005C1875" w14:paraId="3DDFFFCC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2F8571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Dimension</w:t>
            </w:r>
          </w:p>
        </w:tc>
        <w:tc>
          <w:tcPr>
            <w:tcW w:w="0" w:type="auto"/>
            <w:hideMark/>
          </w:tcPr>
          <w:p w14:paraId="181F468D" w14:textId="77777777" w:rsidR="005C1875" w:rsidRPr="005C1875" w:rsidRDefault="005C187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Assessment Criteria</w:t>
            </w:r>
          </w:p>
        </w:tc>
        <w:tc>
          <w:tcPr>
            <w:tcW w:w="0" w:type="auto"/>
            <w:hideMark/>
          </w:tcPr>
          <w:p w14:paraId="02E24480" w14:textId="77777777" w:rsidR="005C1875" w:rsidRPr="005C1875" w:rsidRDefault="005C187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Score (1-5)</w:t>
            </w:r>
          </w:p>
        </w:tc>
        <w:tc>
          <w:tcPr>
            <w:tcW w:w="0" w:type="auto"/>
            <w:hideMark/>
          </w:tcPr>
          <w:p w14:paraId="3D6A9B99" w14:textId="77777777" w:rsidR="005C1875" w:rsidRPr="005C1875" w:rsidRDefault="005C187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Evidence/Examples</w:t>
            </w:r>
          </w:p>
        </w:tc>
      </w:tr>
      <w:tr w:rsidR="005C1875" w:rsidRPr="005C1875" w14:paraId="69EF5F87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64FCF7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Leadership Commitment</w:t>
            </w:r>
          </w:p>
        </w:tc>
        <w:tc>
          <w:tcPr>
            <w:tcW w:w="0" w:type="auto"/>
            <w:hideMark/>
          </w:tcPr>
          <w:p w14:paraId="1E4970FD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2806AE9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3922DAF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2BDA7D83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309D6E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Board engagement</w:t>
            </w:r>
          </w:p>
        </w:tc>
        <w:tc>
          <w:tcPr>
            <w:tcW w:w="0" w:type="auto"/>
            <w:hideMark/>
          </w:tcPr>
          <w:p w14:paraId="27144135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Board regularly discusses security risks in business context</w:t>
            </w:r>
          </w:p>
        </w:tc>
        <w:tc>
          <w:tcPr>
            <w:tcW w:w="0" w:type="auto"/>
            <w:hideMark/>
          </w:tcPr>
          <w:p w14:paraId="4F16433A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41DF205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510C3319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0DE04E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Executive sponsorship</w:t>
            </w:r>
          </w:p>
        </w:tc>
        <w:tc>
          <w:tcPr>
            <w:tcW w:w="0" w:type="auto"/>
            <w:hideMark/>
          </w:tcPr>
          <w:p w14:paraId="476308BF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C-suite executive(s) actively champion risk management</w:t>
            </w:r>
          </w:p>
        </w:tc>
        <w:tc>
          <w:tcPr>
            <w:tcW w:w="0" w:type="auto"/>
            <w:hideMark/>
          </w:tcPr>
          <w:p w14:paraId="3D535D54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2304678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4498ED3D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112730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Resource allocation</w:t>
            </w:r>
          </w:p>
        </w:tc>
        <w:tc>
          <w:tcPr>
            <w:tcW w:w="0" w:type="auto"/>
            <w:hideMark/>
          </w:tcPr>
          <w:p w14:paraId="191945DD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Resources allocated based on risk impact rather than technical factors</w:t>
            </w:r>
          </w:p>
        </w:tc>
        <w:tc>
          <w:tcPr>
            <w:tcW w:w="0" w:type="auto"/>
            <w:hideMark/>
          </w:tcPr>
          <w:p w14:paraId="7999F890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2E19EE1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0841C7EF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D20C49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Visible involvement</w:t>
            </w:r>
          </w:p>
        </w:tc>
        <w:tc>
          <w:tcPr>
            <w:tcW w:w="0" w:type="auto"/>
            <w:hideMark/>
          </w:tcPr>
          <w:p w14:paraId="4A2E1F2A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Leaders demonstrate and communicate risk-aware behaviors</w:t>
            </w:r>
          </w:p>
        </w:tc>
        <w:tc>
          <w:tcPr>
            <w:tcW w:w="0" w:type="auto"/>
            <w:hideMark/>
          </w:tcPr>
          <w:p w14:paraId="666E7582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69EE19B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5C9457B1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9FE062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Organizational Structure</w:t>
            </w:r>
          </w:p>
        </w:tc>
        <w:tc>
          <w:tcPr>
            <w:tcW w:w="0" w:type="auto"/>
            <w:hideMark/>
          </w:tcPr>
          <w:p w14:paraId="366FF129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F837866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1AEDE55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42B118E8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F50209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Cross-functional governance</w:t>
            </w:r>
          </w:p>
        </w:tc>
        <w:tc>
          <w:tcPr>
            <w:tcW w:w="0" w:type="auto"/>
            <w:hideMark/>
          </w:tcPr>
          <w:p w14:paraId="6F5BD9D9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Risk committees include representation from all key functions</w:t>
            </w:r>
          </w:p>
        </w:tc>
        <w:tc>
          <w:tcPr>
            <w:tcW w:w="0" w:type="auto"/>
            <w:hideMark/>
          </w:tcPr>
          <w:p w14:paraId="31C15E15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2431608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5F789125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155A9E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Role clarity</w:t>
            </w:r>
          </w:p>
        </w:tc>
        <w:tc>
          <w:tcPr>
            <w:tcW w:w="0" w:type="auto"/>
            <w:hideMark/>
          </w:tcPr>
          <w:p w14:paraId="11422D2D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Risk responsibilities clearly defined across business and technical functions</w:t>
            </w:r>
          </w:p>
        </w:tc>
        <w:tc>
          <w:tcPr>
            <w:tcW w:w="0" w:type="auto"/>
            <w:hideMark/>
          </w:tcPr>
          <w:p w14:paraId="32CBDFA8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24FEE5F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1FC4B657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652217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Information flow</w:t>
            </w:r>
          </w:p>
        </w:tc>
        <w:tc>
          <w:tcPr>
            <w:tcW w:w="0" w:type="auto"/>
            <w:hideMark/>
          </w:tcPr>
          <w:p w14:paraId="55D9AA8A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Bidirectional risk information flows effectively across hierarchical levels</w:t>
            </w:r>
          </w:p>
        </w:tc>
        <w:tc>
          <w:tcPr>
            <w:tcW w:w="0" w:type="auto"/>
            <w:hideMark/>
          </w:tcPr>
          <w:p w14:paraId="1A705656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2ACF1CA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6A948A4B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93E6EB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Decision authority</w:t>
            </w:r>
          </w:p>
        </w:tc>
        <w:tc>
          <w:tcPr>
            <w:tcW w:w="0" w:type="auto"/>
            <w:hideMark/>
          </w:tcPr>
          <w:p w14:paraId="3D0EB1DE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Decision rights for risk acceptance defined and documented</w:t>
            </w:r>
          </w:p>
        </w:tc>
        <w:tc>
          <w:tcPr>
            <w:tcW w:w="0" w:type="auto"/>
            <w:hideMark/>
          </w:tcPr>
          <w:p w14:paraId="77CA6C15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BA16B0D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51807EDC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8A3E67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Communication</w:t>
            </w:r>
          </w:p>
        </w:tc>
        <w:tc>
          <w:tcPr>
            <w:tcW w:w="0" w:type="auto"/>
            <w:hideMark/>
          </w:tcPr>
          <w:p w14:paraId="5588E97B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071FB63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FC5C76D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3E00456A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8F903B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Common language</w:t>
            </w:r>
          </w:p>
        </w:tc>
        <w:tc>
          <w:tcPr>
            <w:tcW w:w="0" w:type="auto"/>
            <w:hideMark/>
          </w:tcPr>
          <w:p w14:paraId="239D028C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Shared risk terminology understood across technical and business units</w:t>
            </w:r>
          </w:p>
        </w:tc>
        <w:tc>
          <w:tcPr>
            <w:tcW w:w="0" w:type="auto"/>
            <w:hideMark/>
          </w:tcPr>
          <w:p w14:paraId="597789E7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9F242FA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565CE403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73D01F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Appropriate translation</w:t>
            </w:r>
          </w:p>
        </w:tc>
        <w:tc>
          <w:tcPr>
            <w:tcW w:w="0" w:type="auto"/>
            <w:hideMark/>
          </w:tcPr>
          <w:p w14:paraId="1503FC39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Technical risks consistently translated into business impacts</w:t>
            </w:r>
          </w:p>
        </w:tc>
        <w:tc>
          <w:tcPr>
            <w:tcW w:w="0" w:type="auto"/>
            <w:hideMark/>
          </w:tcPr>
          <w:p w14:paraId="54EFCAB5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E405DD8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7CEDFEB8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A417F0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lastRenderedPageBreak/>
              <w:t>Transparency</w:t>
            </w:r>
          </w:p>
        </w:tc>
        <w:tc>
          <w:tcPr>
            <w:tcW w:w="0" w:type="auto"/>
            <w:hideMark/>
          </w:tcPr>
          <w:p w14:paraId="66372BA6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Open communication about risks, incidents, and lessons learned</w:t>
            </w:r>
          </w:p>
        </w:tc>
        <w:tc>
          <w:tcPr>
            <w:tcW w:w="0" w:type="auto"/>
            <w:hideMark/>
          </w:tcPr>
          <w:p w14:paraId="6D927ADC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78037EB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781A803D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51DC91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Feedback mechanisms</w:t>
            </w:r>
          </w:p>
        </w:tc>
        <w:tc>
          <w:tcPr>
            <w:tcW w:w="0" w:type="auto"/>
            <w:hideMark/>
          </w:tcPr>
          <w:p w14:paraId="4C878D1A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Channels exist for raising risk concerns across organizational boundaries</w:t>
            </w:r>
          </w:p>
        </w:tc>
        <w:tc>
          <w:tcPr>
            <w:tcW w:w="0" w:type="auto"/>
            <w:hideMark/>
          </w:tcPr>
          <w:p w14:paraId="073D03E7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ACB6625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0DD915C2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B6AC75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Risk Awareness</w:t>
            </w:r>
          </w:p>
        </w:tc>
        <w:tc>
          <w:tcPr>
            <w:tcW w:w="0" w:type="auto"/>
            <w:hideMark/>
          </w:tcPr>
          <w:p w14:paraId="1A02C791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7AECEF4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8465936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0425F9E1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245C3C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Business integration</w:t>
            </w:r>
          </w:p>
        </w:tc>
        <w:tc>
          <w:tcPr>
            <w:tcW w:w="0" w:type="auto"/>
            <w:hideMark/>
          </w:tcPr>
          <w:p w14:paraId="79F362CE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Risk considerations embedded in regular business processes</w:t>
            </w:r>
          </w:p>
        </w:tc>
        <w:tc>
          <w:tcPr>
            <w:tcW w:w="0" w:type="auto"/>
            <w:hideMark/>
          </w:tcPr>
          <w:p w14:paraId="09226017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6CD1186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2EE6A204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EFE90E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Training effectiveness</w:t>
            </w:r>
          </w:p>
        </w:tc>
        <w:tc>
          <w:tcPr>
            <w:tcW w:w="0" w:type="auto"/>
            <w:hideMark/>
          </w:tcPr>
          <w:p w14:paraId="71CCA064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Risk training focuses on behaviors rather than just knowledge</w:t>
            </w:r>
          </w:p>
        </w:tc>
        <w:tc>
          <w:tcPr>
            <w:tcW w:w="0" w:type="auto"/>
            <w:hideMark/>
          </w:tcPr>
          <w:p w14:paraId="52320228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3898CAD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606177C8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E22CC6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Personal relevance</w:t>
            </w:r>
          </w:p>
        </w:tc>
        <w:tc>
          <w:tcPr>
            <w:tcW w:w="0" w:type="auto"/>
            <w:hideMark/>
          </w:tcPr>
          <w:p w14:paraId="5FDC800B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Staff understand risk management's relevance to their specific roles</w:t>
            </w:r>
          </w:p>
        </w:tc>
        <w:tc>
          <w:tcPr>
            <w:tcW w:w="0" w:type="auto"/>
            <w:hideMark/>
          </w:tcPr>
          <w:p w14:paraId="29291737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86C5E11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0D5AF3F9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3D2A0C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Risk reporting</w:t>
            </w:r>
          </w:p>
        </w:tc>
        <w:tc>
          <w:tcPr>
            <w:tcW w:w="0" w:type="auto"/>
            <w:hideMark/>
          </w:tcPr>
          <w:p w14:paraId="4382C189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Regular risk reporting tailored to different organizational levels</w:t>
            </w:r>
          </w:p>
        </w:tc>
        <w:tc>
          <w:tcPr>
            <w:tcW w:w="0" w:type="auto"/>
            <w:hideMark/>
          </w:tcPr>
          <w:p w14:paraId="0A4780EF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42A1455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7F527899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4E4AEE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Incentive Alignment</w:t>
            </w:r>
          </w:p>
        </w:tc>
        <w:tc>
          <w:tcPr>
            <w:tcW w:w="0" w:type="auto"/>
            <w:hideMark/>
          </w:tcPr>
          <w:p w14:paraId="579D847F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0F0D5AD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2422A02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2A7B2D4C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E978AD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Performance metrics</w:t>
            </w:r>
          </w:p>
        </w:tc>
        <w:tc>
          <w:tcPr>
            <w:tcW w:w="0" w:type="auto"/>
            <w:hideMark/>
          </w:tcPr>
          <w:p w14:paraId="2CC73853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Performance evaluations include risk management considerations</w:t>
            </w:r>
          </w:p>
        </w:tc>
        <w:tc>
          <w:tcPr>
            <w:tcW w:w="0" w:type="auto"/>
            <w:hideMark/>
          </w:tcPr>
          <w:p w14:paraId="71C899D2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7C20D0B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191C7B88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858F54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Recognition systems</w:t>
            </w:r>
          </w:p>
        </w:tc>
        <w:tc>
          <w:tcPr>
            <w:tcW w:w="0" w:type="auto"/>
            <w:hideMark/>
          </w:tcPr>
          <w:p w14:paraId="68D877BC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Good risk management practices are visibly recognized and rewarded</w:t>
            </w:r>
          </w:p>
        </w:tc>
        <w:tc>
          <w:tcPr>
            <w:tcW w:w="0" w:type="auto"/>
            <w:hideMark/>
          </w:tcPr>
          <w:p w14:paraId="5376488E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BCA4095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40DA0572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BBDD5B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Balanced objectives</w:t>
            </w:r>
          </w:p>
        </w:tc>
        <w:tc>
          <w:tcPr>
            <w:tcW w:w="0" w:type="auto"/>
            <w:hideMark/>
          </w:tcPr>
          <w:p w14:paraId="6627DACD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No incentives that directly conflict with sound risk management</w:t>
            </w:r>
          </w:p>
        </w:tc>
        <w:tc>
          <w:tcPr>
            <w:tcW w:w="0" w:type="auto"/>
            <w:hideMark/>
          </w:tcPr>
          <w:p w14:paraId="2201D64C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B86E3B2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065C2C85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0FC1D5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Psychological safety</w:t>
            </w:r>
          </w:p>
        </w:tc>
        <w:tc>
          <w:tcPr>
            <w:tcW w:w="0" w:type="auto"/>
            <w:hideMark/>
          </w:tcPr>
          <w:p w14:paraId="028BAC93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Staff comfortable raising concerns without fear of punishment</w:t>
            </w:r>
          </w:p>
        </w:tc>
        <w:tc>
          <w:tcPr>
            <w:tcW w:w="0" w:type="auto"/>
            <w:hideMark/>
          </w:tcPr>
          <w:p w14:paraId="43682C9D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E845922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1924A284" w14:textId="18926469" w:rsidR="005C1875" w:rsidRPr="005C1875" w:rsidRDefault="005C1875" w:rsidP="005C1875">
      <w:pPr>
        <w:pStyle w:val="Caption"/>
        <w:rPr>
          <w:rFonts w:ascii="Verdana" w:hAnsi="Verdana"/>
        </w:rPr>
      </w:pPr>
      <w:r w:rsidRPr="005C1875">
        <w:rPr>
          <w:rFonts w:ascii="Verdana" w:hAnsi="Verdana"/>
        </w:rPr>
        <w:t xml:space="preserve">Table </w:t>
      </w:r>
      <w:r w:rsidRPr="005C1875">
        <w:rPr>
          <w:rFonts w:ascii="Verdana" w:hAnsi="Verdana"/>
        </w:rPr>
        <w:fldChar w:fldCharType="begin"/>
      </w:r>
      <w:r w:rsidRPr="005C1875">
        <w:rPr>
          <w:rFonts w:ascii="Verdana" w:hAnsi="Verdana"/>
        </w:rPr>
        <w:instrText xml:space="preserve"> SEQ Table \* ARABIC </w:instrText>
      </w:r>
      <w:r w:rsidRPr="005C1875">
        <w:rPr>
          <w:rFonts w:ascii="Verdana" w:hAnsi="Verdana"/>
        </w:rPr>
        <w:fldChar w:fldCharType="separate"/>
      </w:r>
      <w:r w:rsidRPr="005C1875">
        <w:rPr>
          <w:rFonts w:ascii="Verdana" w:hAnsi="Verdana"/>
          <w:noProof/>
        </w:rPr>
        <w:t>1</w:t>
      </w:r>
      <w:r w:rsidRPr="005C1875">
        <w:rPr>
          <w:rFonts w:ascii="Verdana" w:hAnsi="Verdana"/>
          <w:noProof/>
        </w:rPr>
        <w:fldChar w:fldCharType="end"/>
      </w:r>
      <w:r w:rsidRPr="005C1875">
        <w:rPr>
          <w:rFonts w:ascii="Verdana" w:hAnsi="Verdana"/>
        </w:rPr>
        <w:t>: Risk Maturity Assessment</w:t>
      </w:r>
    </w:p>
    <w:p w14:paraId="2D7B5E46" w14:textId="77777777" w:rsidR="005C1875" w:rsidRPr="005C1875" w:rsidRDefault="005C1875" w:rsidP="005C1875">
      <w:pPr>
        <w:pStyle w:val="Heading2"/>
        <w:rPr>
          <w:rFonts w:ascii="Verdana" w:hAnsi="Verdana"/>
        </w:rPr>
      </w:pPr>
      <w:r w:rsidRPr="005C1875">
        <w:rPr>
          <w:rFonts w:ascii="Verdana" w:hAnsi="Verdana"/>
        </w:rPr>
        <w:t>PART 2: Gap Analysis and Action Planning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708"/>
        <w:gridCol w:w="1711"/>
        <w:gridCol w:w="1716"/>
        <w:gridCol w:w="1520"/>
        <w:gridCol w:w="957"/>
        <w:gridCol w:w="1178"/>
      </w:tblGrid>
      <w:tr w:rsidR="005C1875" w:rsidRPr="005C1875" w14:paraId="1945ADBA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DC5F5F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Priority Areas for Improvement</w:t>
            </w:r>
          </w:p>
        </w:tc>
        <w:tc>
          <w:tcPr>
            <w:tcW w:w="0" w:type="auto"/>
            <w:hideMark/>
          </w:tcPr>
          <w:p w14:paraId="5143A557" w14:textId="77777777" w:rsidR="005C1875" w:rsidRPr="005C1875" w:rsidRDefault="005C187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Current State</w:t>
            </w:r>
          </w:p>
        </w:tc>
        <w:tc>
          <w:tcPr>
            <w:tcW w:w="0" w:type="auto"/>
            <w:hideMark/>
          </w:tcPr>
          <w:p w14:paraId="2B2ACEC0" w14:textId="77777777" w:rsidR="005C1875" w:rsidRPr="005C1875" w:rsidRDefault="005C187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Desired State</w:t>
            </w:r>
          </w:p>
        </w:tc>
        <w:tc>
          <w:tcPr>
            <w:tcW w:w="0" w:type="auto"/>
            <w:hideMark/>
          </w:tcPr>
          <w:p w14:paraId="244A74EB" w14:textId="77777777" w:rsidR="005C1875" w:rsidRPr="005C1875" w:rsidRDefault="005C187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Key Actions</w:t>
            </w:r>
          </w:p>
        </w:tc>
        <w:tc>
          <w:tcPr>
            <w:tcW w:w="0" w:type="auto"/>
            <w:hideMark/>
          </w:tcPr>
          <w:p w14:paraId="577414B1" w14:textId="77777777" w:rsidR="005C1875" w:rsidRPr="005C1875" w:rsidRDefault="005C187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Owner</w:t>
            </w:r>
          </w:p>
        </w:tc>
        <w:tc>
          <w:tcPr>
            <w:tcW w:w="0" w:type="auto"/>
            <w:hideMark/>
          </w:tcPr>
          <w:p w14:paraId="1B4AA26B" w14:textId="77777777" w:rsidR="005C1875" w:rsidRPr="005C1875" w:rsidRDefault="005C187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Timeline</w:t>
            </w:r>
          </w:p>
        </w:tc>
      </w:tr>
      <w:tr w:rsidR="005C1875" w:rsidRPr="005C1875" w14:paraId="4EA5B9B7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267DA8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1.</w:t>
            </w:r>
          </w:p>
        </w:tc>
        <w:tc>
          <w:tcPr>
            <w:tcW w:w="0" w:type="auto"/>
            <w:hideMark/>
          </w:tcPr>
          <w:p w14:paraId="5CAF5BA3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E5B729A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548577D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3510C35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74E3721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042DB342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D27B52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2.</w:t>
            </w:r>
          </w:p>
        </w:tc>
        <w:tc>
          <w:tcPr>
            <w:tcW w:w="0" w:type="auto"/>
            <w:hideMark/>
          </w:tcPr>
          <w:p w14:paraId="13D1CA77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250EA41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537B434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508FAA4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48457EC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1A95769C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429921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3.</w:t>
            </w:r>
          </w:p>
        </w:tc>
        <w:tc>
          <w:tcPr>
            <w:tcW w:w="0" w:type="auto"/>
            <w:hideMark/>
          </w:tcPr>
          <w:p w14:paraId="5DF982FE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8233BB7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AB6B579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E5C9C34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1E14809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44CA116D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F40361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4.</w:t>
            </w:r>
          </w:p>
        </w:tc>
        <w:tc>
          <w:tcPr>
            <w:tcW w:w="0" w:type="auto"/>
            <w:hideMark/>
          </w:tcPr>
          <w:p w14:paraId="16328FBC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CC0DD90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E00B4FA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C2BC896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6BB26BE" w14:textId="77777777" w:rsidR="005C1875" w:rsidRPr="005C1875" w:rsidRDefault="005C187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5C1875" w:rsidRPr="005C1875" w14:paraId="4B8BEC60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0B6A9A" w14:textId="77777777" w:rsidR="005C1875" w:rsidRPr="005C1875" w:rsidRDefault="005C1875" w:rsidP="005C3B97">
            <w:pPr>
              <w:rPr>
                <w:rFonts w:ascii="Verdana" w:hAnsi="Verdana"/>
              </w:rPr>
            </w:pPr>
            <w:r w:rsidRPr="005C1875">
              <w:rPr>
                <w:rFonts w:ascii="Verdana" w:hAnsi="Verdana"/>
              </w:rPr>
              <w:t>5.</w:t>
            </w:r>
          </w:p>
        </w:tc>
        <w:tc>
          <w:tcPr>
            <w:tcW w:w="0" w:type="auto"/>
            <w:hideMark/>
          </w:tcPr>
          <w:p w14:paraId="2C054DEB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28AFE25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944C01D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D8AD6E0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2622E02" w14:textId="77777777" w:rsidR="005C1875" w:rsidRPr="005C1875" w:rsidRDefault="005C187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51F7FD0F" w14:textId="3496801A" w:rsidR="005C1875" w:rsidRPr="005C1875" w:rsidRDefault="005C1875" w:rsidP="005C1875">
      <w:pPr>
        <w:pStyle w:val="Caption"/>
        <w:rPr>
          <w:rFonts w:ascii="Verdana" w:hAnsi="Verdana"/>
        </w:rPr>
      </w:pPr>
      <w:r w:rsidRPr="005C1875">
        <w:rPr>
          <w:rFonts w:ascii="Verdana" w:hAnsi="Verdana"/>
        </w:rPr>
        <w:t xml:space="preserve">Table </w:t>
      </w:r>
      <w:r w:rsidRPr="005C1875">
        <w:rPr>
          <w:rFonts w:ascii="Verdana" w:hAnsi="Verdana"/>
        </w:rPr>
        <w:fldChar w:fldCharType="begin"/>
      </w:r>
      <w:r w:rsidRPr="005C1875">
        <w:rPr>
          <w:rFonts w:ascii="Verdana" w:hAnsi="Verdana"/>
        </w:rPr>
        <w:instrText xml:space="preserve"> SEQ Table \* ARABIC </w:instrText>
      </w:r>
      <w:r w:rsidRPr="005C1875">
        <w:rPr>
          <w:rFonts w:ascii="Verdana" w:hAnsi="Verdana"/>
        </w:rPr>
        <w:fldChar w:fldCharType="separate"/>
      </w:r>
      <w:r w:rsidRPr="005C1875">
        <w:rPr>
          <w:rFonts w:ascii="Verdana" w:hAnsi="Verdana"/>
          <w:noProof/>
        </w:rPr>
        <w:t>2</w:t>
      </w:r>
      <w:r w:rsidRPr="005C1875">
        <w:rPr>
          <w:rFonts w:ascii="Verdana" w:hAnsi="Verdana"/>
          <w:noProof/>
        </w:rPr>
        <w:fldChar w:fldCharType="end"/>
      </w:r>
      <w:r w:rsidRPr="005C1875">
        <w:rPr>
          <w:rFonts w:ascii="Verdana" w:hAnsi="Verdana"/>
        </w:rPr>
        <w:t>: Gap Analysis and Action Planning</w:t>
      </w:r>
    </w:p>
    <w:p w14:paraId="31B40EA7" w14:textId="77777777" w:rsidR="005C1875" w:rsidRPr="005C1875" w:rsidRDefault="005C1875" w:rsidP="005C1875">
      <w:pPr>
        <w:pStyle w:val="Heading2"/>
        <w:rPr>
          <w:rFonts w:ascii="Verdana" w:hAnsi="Verdana"/>
        </w:rPr>
      </w:pPr>
      <w:r w:rsidRPr="005C1875">
        <w:rPr>
          <w:rFonts w:ascii="Verdana" w:hAnsi="Verdana"/>
        </w:rPr>
        <w:t>IMPLEMENTATION TIPS:</w:t>
      </w:r>
    </w:p>
    <w:p w14:paraId="63A2ED37" w14:textId="77777777" w:rsidR="005C1875" w:rsidRPr="005C1875" w:rsidRDefault="005C1875" w:rsidP="005C187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5C1875">
        <w:rPr>
          <w:rFonts w:ascii="Verdana" w:hAnsi="Verdana"/>
        </w:rPr>
        <w:t>Have multiple stakeholders complete the assessment independently, then compare results to identify perception gaps</w:t>
      </w:r>
    </w:p>
    <w:p w14:paraId="7C733AEE" w14:textId="77777777" w:rsidR="005C1875" w:rsidRPr="005C1875" w:rsidRDefault="005C1875" w:rsidP="005C187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5C1875">
        <w:rPr>
          <w:rFonts w:ascii="Verdana" w:hAnsi="Verdana"/>
        </w:rPr>
        <w:t>Focus improvement efforts on no more than 3-5 areas at once to maintain momentum and show visible progress</w:t>
      </w:r>
    </w:p>
    <w:p w14:paraId="6BA8C880" w14:textId="77777777" w:rsidR="005C1875" w:rsidRPr="005C1875" w:rsidRDefault="005C1875" w:rsidP="005C187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5C1875">
        <w:rPr>
          <w:rFonts w:ascii="Verdana" w:hAnsi="Verdana"/>
        </w:rPr>
        <w:t>Use specific examples (both positive and negative) to support ratings and create concrete improvement actions</w:t>
      </w:r>
    </w:p>
    <w:p w14:paraId="61645D98" w14:textId="77777777" w:rsidR="005A3C36" w:rsidRPr="005C1875" w:rsidRDefault="005A3C36" w:rsidP="005C1875">
      <w:pPr>
        <w:rPr>
          <w:rFonts w:ascii="Verdana" w:hAnsi="Verdana"/>
        </w:rPr>
      </w:pPr>
    </w:p>
    <w:sectPr w:rsidR="005A3C36" w:rsidRPr="005C1875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95AA8" w14:textId="77777777" w:rsidR="00FF4A39" w:rsidRDefault="00FF4A39" w:rsidP="005A3C36">
      <w:pPr>
        <w:spacing w:after="0" w:line="240" w:lineRule="auto"/>
      </w:pPr>
      <w:r>
        <w:separator/>
      </w:r>
    </w:p>
  </w:endnote>
  <w:endnote w:type="continuationSeparator" w:id="0">
    <w:p w14:paraId="30BF70EF" w14:textId="77777777" w:rsidR="00FF4A39" w:rsidRDefault="00FF4A39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8B174" w14:textId="77777777" w:rsidR="002C457E" w:rsidRDefault="002C45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82F3F" w14:textId="19D2CABE" w:rsidR="005A3C36" w:rsidRPr="005A3C36" w:rsidRDefault="002C457E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28BDC" w14:textId="77777777" w:rsidR="002C457E" w:rsidRDefault="002C45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B31D5" w14:textId="77777777" w:rsidR="00FF4A39" w:rsidRDefault="00FF4A39" w:rsidP="005A3C36">
      <w:pPr>
        <w:spacing w:after="0" w:line="240" w:lineRule="auto"/>
      </w:pPr>
      <w:r>
        <w:separator/>
      </w:r>
    </w:p>
  </w:footnote>
  <w:footnote w:type="continuationSeparator" w:id="0">
    <w:p w14:paraId="09475084" w14:textId="77777777" w:rsidR="00FF4A39" w:rsidRDefault="00FF4A39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35267" w14:textId="77777777" w:rsidR="002C457E" w:rsidRDefault="002C45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C3A54" w14:textId="4F079FAB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5C1875">
      <w:rPr>
        <w:rFonts w:ascii="Verdana" w:hAnsi="Verdana"/>
      </w:rPr>
      <w:t>8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0CF9D" w14:textId="77777777" w:rsidR="002C457E" w:rsidRDefault="002C45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75"/>
    <w:rsid w:val="000756A1"/>
    <w:rsid w:val="002A6616"/>
    <w:rsid w:val="002B75FE"/>
    <w:rsid w:val="002C457E"/>
    <w:rsid w:val="004B29F0"/>
    <w:rsid w:val="00543E0E"/>
    <w:rsid w:val="005A3C36"/>
    <w:rsid w:val="005C1875"/>
    <w:rsid w:val="007C7472"/>
    <w:rsid w:val="00862C53"/>
    <w:rsid w:val="0097167D"/>
    <w:rsid w:val="00A80303"/>
    <w:rsid w:val="00B56A81"/>
    <w:rsid w:val="00B74935"/>
    <w:rsid w:val="00EF110D"/>
    <w:rsid w:val="00FF4A39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E7716"/>
  <w15:chartTrackingRefBased/>
  <w15:docId w15:val="{1AAE87F5-E4AC-4B4E-BBA4-3F8345DCB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875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5C187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5C187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2C457E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457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Chapter #: (NAME)</vt:lpstr>
      <vt:lpstr>Risk Culture Maturity Assessment</vt:lpstr>
      <vt:lpstr>    PART 1: Maturity Assessment</vt:lpstr>
      <vt:lpstr>    PART 2: Gap Analysis and Action Planning</vt:lpstr>
      <vt:lpstr>    IMPLEMENTATION TIPS:</vt:lpstr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8: Risk Culture Maturity Assessment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2025-08-25T18:28:00Z</dcterms:created>
  <dcterms:modified xsi:type="dcterms:W3CDTF">2026-05-19T20:03:00Z</dcterms:modified>
</cp:coreProperties>
</file>