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A4460" w14:textId="77777777" w:rsidR="00C12BBD" w:rsidRPr="00C12BBD" w:rsidRDefault="00C12BBD" w:rsidP="00C12BBD">
      <w:pPr>
        <w:pStyle w:val="Heading1"/>
        <w:rPr>
          <w:rFonts w:ascii="Verdana" w:hAnsi="Verdana"/>
        </w:rPr>
      </w:pPr>
      <w:r w:rsidRPr="00C12BBD">
        <w:rPr>
          <w:rFonts w:ascii="Verdana" w:hAnsi="Verdana"/>
        </w:rPr>
        <w:t>Security Business Enablement Matrix</w:t>
      </w:r>
    </w:p>
    <w:p w14:paraId="573DDDAE" w14:textId="77777777" w:rsidR="00C12BBD" w:rsidRPr="00C12BBD" w:rsidRDefault="00C12BBD" w:rsidP="00C12BBD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C12BBD">
        <w:rPr>
          <w:rFonts w:ascii="Verdana" w:hAnsi="Verdana"/>
          <w:b/>
          <w:bCs/>
        </w:rPr>
        <w:t>PURPOSE:</w:t>
      </w:r>
      <w:r w:rsidRPr="00C12BBD">
        <w:rPr>
          <w:rFonts w:ascii="Verdana" w:hAnsi="Verdana"/>
        </w:rPr>
        <w:t xml:space="preserve"> Helps security leaders systematically identify and map security capabilities to specific business objectives, transforming how security value is articulated from risk reduction to business enablement.</w:t>
      </w:r>
    </w:p>
    <w:p w14:paraId="7B6E4EFF" w14:textId="77777777" w:rsidR="00C12BBD" w:rsidRPr="00C12BBD" w:rsidRDefault="00C12BBD" w:rsidP="00C12BBD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C12BBD">
        <w:rPr>
          <w:rFonts w:ascii="Verdana" w:hAnsi="Verdana"/>
          <w:b/>
          <w:bCs/>
        </w:rPr>
        <w:t xml:space="preserve">WHEN TO USE: </w:t>
      </w:r>
      <w:r w:rsidRPr="00C12BBD">
        <w:rPr>
          <w:rFonts w:ascii="Verdana" w:hAnsi="Verdana"/>
        </w:rPr>
        <w:t>When developing strategic security plans, preparing budget requests, communicating security value to executives, or aligning security initiatives with business priorities.</w:t>
      </w:r>
    </w:p>
    <w:p w14:paraId="51D99754" w14:textId="77777777" w:rsidR="00C12BBD" w:rsidRPr="00C12BBD" w:rsidRDefault="00C12BBD" w:rsidP="00C12BBD">
      <w:pPr>
        <w:pStyle w:val="Heading2"/>
        <w:rPr>
          <w:rFonts w:ascii="Verdana" w:hAnsi="Verdana"/>
        </w:rPr>
      </w:pPr>
      <w:r w:rsidRPr="00C12BBD">
        <w:rPr>
          <w:rFonts w:ascii="Verdana" w:hAnsi="Verdana"/>
        </w:rPr>
        <w:t>SECURITY BUSINESS VALUE MATRIX</w:t>
      </w:r>
    </w:p>
    <w:tbl>
      <w:tblPr>
        <w:tblStyle w:val="GridTable4"/>
        <w:tblW w:w="0" w:type="auto"/>
        <w:tblLook w:val="04A0" w:firstRow="1" w:lastRow="0" w:firstColumn="1" w:lastColumn="0" w:noHBand="0" w:noVBand="1"/>
      </w:tblPr>
      <w:tblGrid>
        <w:gridCol w:w="1848"/>
        <w:gridCol w:w="2326"/>
        <w:gridCol w:w="2118"/>
        <w:gridCol w:w="2331"/>
        <w:gridCol w:w="2167"/>
      </w:tblGrid>
      <w:tr w:rsidR="00C12BBD" w:rsidRPr="00C12BBD" w14:paraId="03F2D1C7" w14:textId="77777777" w:rsidTr="005C3B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38F53C0" w14:textId="77777777" w:rsidR="00C12BBD" w:rsidRPr="00C12BBD" w:rsidRDefault="00C12BBD" w:rsidP="005C3B97">
            <w:pPr>
              <w:rPr>
                <w:rFonts w:ascii="Verdana" w:hAnsi="Verdana"/>
              </w:rPr>
            </w:pPr>
            <w:r w:rsidRPr="00C12BBD">
              <w:rPr>
                <w:rFonts w:ascii="Verdana" w:hAnsi="Verdana"/>
              </w:rPr>
              <w:t>Security Capability</w:t>
            </w:r>
          </w:p>
        </w:tc>
        <w:tc>
          <w:tcPr>
            <w:tcW w:w="0" w:type="auto"/>
            <w:hideMark/>
          </w:tcPr>
          <w:p w14:paraId="4C8CA53F" w14:textId="77777777" w:rsidR="00C12BBD" w:rsidRPr="00C12BBD" w:rsidRDefault="00C12BBD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C12BBD">
              <w:rPr>
                <w:rFonts w:ascii="Verdana" w:hAnsi="Verdana"/>
              </w:rPr>
              <w:t>Operational Enablement</w:t>
            </w:r>
          </w:p>
        </w:tc>
        <w:tc>
          <w:tcPr>
            <w:tcW w:w="0" w:type="auto"/>
            <w:hideMark/>
          </w:tcPr>
          <w:p w14:paraId="4AAC3A14" w14:textId="77777777" w:rsidR="00C12BBD" w:rsidRPr="00C12BBD" w:rsidRDefault="00C12BBD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C12BBD">
              <w:rPr>
                <w:rFonts w:ascii="Verdana" w:hAnsi="Verdana"/>
              </w:rPr>
              <w:t>Trust Creation</w:t>
            </w:r>
          </w:p>
        </w:tc>
        <w:tc>
          <w:tcPr>
            <w:tcW w:w="0" w:type="auto"/>
            <w:hideMark/>
          </w:tcPr>
          <w:p w14:paraId="4C3CE316" w14:textId="77777777" w:rsidR="00C12BBD" w:rsidRPr="00C12BBD" w:rsidRDefault="00C12BBD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C12BBD">
              <w:rPr>
                <w:rFonts w:ascii="Verdana" w:hAnsi="Verdana"/>
              </w:rPr>
              <w:t>Compliance Advantage</w:t>
            </w:r>
          </w:p>
        </w:tc>
        <w:tc>
          <w:tcPr>
            <w:tcW w:w="0" w:type="auto"/>
            <w:hideMark/>
          </w:tcPr>
          <w:p w14:paraId="56E0AA51" w14:textId="77777777" w:rsidR="00C12BBD" w:rsidRPr="00C12BBD" w:rsidRDefault="00C12BBD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C12BBD">
              <w:rPr>
                <w:rFonts w:ascii="Verdana" w:hAnsi="Verdana"/>
              </w:rPr>
              <w:t>Innovation Support</w:t>
            </w:r>
          </w:p>
        </w:tc>
      </w:tr>
      <w:tr w:rsidR="00C12BBD" w:rsidRPr="00C12BBD" w14:paraId="19485C0A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566656F" w14:textId="77777777" w:rsidR="00C12BBD" w:rsidRPr="00C12BBD" w:rsidRDefault="00C12BBD" w:rsidP="005C3B97">
            <w:pPr>
              <w:rPr>
                <w:rFonts w:ascii="Verdana" w:hAnsi="Verdana"/>
              </w:rPr>
            </w:pPr>
            <w:r w:rsidRPr="00C12BBD">
              <w:rPr>
                <w:rFonts w:ascii="Verdana" w:hAnsi="Verdana"/>
              </w:rPr>
              <w:t>[Security Capability Name]</w:t>
            </w:r>
          </w:p>
        </w:tc>
        <w:tc>
          <w:tcPr>
            <w:tcW w:w="0" w:type="auto"/>
            <w:hideMark/>
          </w:tcPr>
          <w:p w14:paraId="144E1843" w14:textId="77777777" w:rsidR="00C12BBD" w:rsidRPr="00C12BBD" w:rsidRDefault="00C12BBD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C12BBD">
              <w:rPr>
                <w:rFonts w:ascii="Verdana" w:hAnsi="Verdana"/>
              </w:rPr>
              <w:t>How does this capability support business functions?</w:t>
            </w:r>
          </w:p>
        </w:tc>
        <w:tc>
          <w:tcPr>
            <w:tcW w:w="0" w:type="auto"/>
            <w:hideMark/>
          </w:tcPr>
          <w:p w14:paraId="13057A04" w14:textId="77777777" w:rsidR="00C12BBD" w:rsidRPr="00C12BBD" w:rsidRDefault="00C12BBD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C12BBD">
              <w:rPr>
                <w:rFonts w:ascii="Verdana" w:hAnsi="Verdana"/>
              </w:rPr>
              <w:t>How does this capability build stakeholder trust?</w:t>
            </w:r>
          </w:p>
        </w:tc>
        <w:tc>
          <w:tcPr>
            <w:tcW w:w="0" w:type="auto"/>
            <w:hideMark/>
          </w:tcPr>
          <w:p w14:paraId="54269D5B" w14:textId="77777777" w:rsidR="00C12BBD" w:rsidRPr="00C12BBD" w:rsidRDefault="00C12BBD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C12BBD">
              <w:rPr>
                <w:rFonts w:ascii="Verdana" w:hAnsi="Verdana"/>
              </w:rPr>
              <w:t>How does this capability create regulatory advantage?</w:t>
            </w:r>
          </w:p>
        </w:tc>
        <w:tc>
          <w:tcPr>
            <w:tcW w:w="0" w:type="auto"/>
            <w:hideMark/>
          </w:tcPr>
          <w:p w14:paraId="686F84D9" w14:textId="77777777" w:rsidR="00C12BBD" w:rsidRPr="00C12BBD" w:rsidRDefault="00C12BBD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C12BBD">
              <w:rPr>
                <w:rFonts w:ascii="Verdana" w:hAnsi="Verdana"/>
              </w:rPr>
              <w:t>How does this capability enable safe innovation?</w:t>
            </w:r>
          </w:p>
        </w:tc>
      </w:tr>
      <w:tr w:rsidR="00C12BBD" w:rsidRPr="00C12BBD" w14:paraId="71D3183D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7FFB1FF" w14:textId="77777777" w:rsidR="00C12BBD" w:rsidRPr="00C12BBD" w:rsidRDefault="00C12BBD" w:rsidP="005C3B97">
            <w:pPr>
              <w:rPr>
                <w:rFonts w:ascii="Verdana" w:hAnsi="Verdana"/>
              </w:rPr>
            </w:pPr>
            <w:r w:rsidRPr="00C12BBD">
              <w:rPr>
                <w:rFonts w:ascii="Verdana" w:hAnsi="Verdana"/>
              </w:rPr>
              <w:t>Business Value Created</w:t>
            </w:r>
          </w:p>
        </w:tc>
        <w:tc>
          <w:tcPr>
            <w:tcW w:w="0" w:type="auto"/>
            <w:hideMark/>
          </w:tcPr>
          <w:p w14:paraId="775C2640" w14:textId="77777777" w:rsidR="00C12BBD" w:rsidRPr="00C12BBD" w:rsidRDefault="00C12BBD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C12BBD">
              <w:rPr>
                <w:rFonts w:ascii="Verdana" w:hAnsi="Verdana"/>
              </w:rPr>
              <w:t>• Specific value created</w:t>
            </w:r>
            <w:r w:rsidRPr="00C12BBD">
              <w:rPr>
                <w:rFonts w:ascii="Verdana" w:hAnsi="Verdana"/>
              </w:rPr>
              <w:br/>
              <w:t>• Measurable outcomes</w:t>
            </w:r>
          </w:p>
        </w:tc>
        <w:tc>
          <w:tcPr>
            <w:tcW w:w="0" w:type="auto"/>
            <w:hideMark/>
          </w:tcPr>
          <w:p w14:paraId="2534624F" w14:textId="77777777" w:rsidR="00C12BBD" w:rsidRPr="00C12BBD" w:rsidRDefault="00C12BBD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C12BBD">
              <w:rPr>
                <w:rFonts w:ascii="Verdana" w:hAnsi="Verdana"/>
              </w:rPr>
              <w:t>• Specific value created</w:t>
            </w:r>
            <w:r w:rsidRPr="00C12BBD">
              <w:rPr>
                <w:rFonts w:ascii="Verdana" w:hAnsi="Verdana"/>
              </w:rPr>
              <w:br/>
              <w:t>• Measurable outcomes</w:t>
            </w:r>
          </w:p>
        </w:tc>
        <w:tc>
          <w:tcPr>
            <w:tcW w:w="0" w:type="auto"/>
            <w:hideMark/>
          </w:tcPr>
          <w:p w14:paraId="65AC2A51" w14:textId="77777777" w:rsidR="00C12BBD" w:rsidRPr="00C12BBD" w:rsidRDefault="00C12BBD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C12BBD">
              <w:rPr>
                <w:rFonts w:ascii="Verdana" w:hAnsi="Verdana"/>
              </w:rPr>
              <w:t>• Specific value created</w:t>
            </w:r>
            <w:r w:rsidRPr="00C12BBD">
              <w:rPr>
                <w:rFonts w:ascii="Verdana" w:hAnsi="Verdana"/>
              </w:rPr>
              <w:br/>
              <w:t>• Measurable outcomes</w:t>
            </w:r>
          </w:p>
        </w:tc>
        <w:tc>
          <w:tcPr>
            <w:tcW w:w="0" w:type="auto"/>
            <w:hideMark/>
          </w:tcPr>
          <w:p w14:paraId="18E0596B" w14:textId="77777777" w:rsidR="00C12BBD" w:rsidRPr="00C12BBD" w:rsidRDefault="00C12BBD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C12BBD">
              <w:rPr>
                <w:rFonts w:ascii="Verdana" w:hAnsi="Verdana"/>
              </w:rPr>
              <w:t>• Specific value created</w:t>
            </w:r>
            <w:r w:rsidRPr="00C12BBD">
              <w:rPr>
                <w:rFonts w:ascii="Verdana" w:hAnsi="Verdana"/>
              </w:rPr>
              <w:br/>
              <w:t>• Measurable outcomes</w:t>
            </w:r>
          </w:p>
        </w:tc>
      </w:tr>
      <w:tr w:rsidR="00C12BBD" w:rsidRPr="00C12BBD" w14:paraId="7F7BC6E2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A55C91B" w14:textId="77777777" w:rsidR="00C12BBD" w:rsidRPr="00C12BBD" w:rsidRDefault="00C12BBD" w:rsidP="005C3B97">
            <w:pPr>
              <w:rPr>
                <w:rFonts w:ascii="Verdana" w:hAnsi="Verdana"/>
              </w:rPr>
            </w:pPr>
            <w:r w:rsidRPr="00C12BBD">
              <w:rPr>
                <w:rFonts w:ascii="Verdana" w:hAnsi="Verdana"/>
              </w:rPr>
              <w:t>Key Metrics</w:t>
            </w:r>
          </w:p>
        </w:tc>
        <w:tc>
          <w:tcPr>
            <w:tcW w:w="0" w:type="auto"/>
            <w:hideMark/>
          </w:tcPr>
          <w:p w14:paraId="5810EED8" w14:textId="77777777" w:rsidR="00C12BBD" w:rsidRPr="00C12BBD" w:rsidRDefault="00C12BBD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C12BBD">
              <w:rPr>
                <w:rFonts w:ascii="Verdana" w:hAnsi="Verdana"/>
              </w:rPr>
              <w:t>• Metric 1</w:t>
            </w:r>
            <w:r w:rsidRPr="00C12BBD">
              <w:rPr>
                <w:rFonts w:ascii="Verdana" w:hAnsi="Verdana"/>
              </w:rPr>
              <w:br/>
              <w:t>• Metric 2</w:t>
            </w:r>
          </w:p>
        </w:tc>
        <w:tc>
          <w:tcPr>
            <w:tcW w:w="0" w:type="auto"/>
            <w:hideMark/>
          </w:tcPr>
          <w:p w14:paraId="1CA7ACBD" w14:textId="77777777" w:rsidR="00C12BBD" w:rsidRPr="00C12BBD" w:rsidRDefault="00C12BBD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C12BBD">
              <w:rPr>
                <w:rFonts w:ascii="Verdana" w:hAnsi="Verdana"/>
              </w:rPr>
              <w:t>• Metric 1</w:t>
            </w:r>
            <w:r w:rsidRPr="00C12BBD">
              <w:rPr>
                <w:rFonts w:ascii="Verdana" w:hAnsi="Verdana"/>
              </w:rPr>
              <w:br/>
              <w:t>• Metric 2</w:t>
            </w:r>
          </w:p>
        </w:tc>
        <w:tc>
          <w:tcPr>
            <w:tcW w:w="0" w:type="auto"/>
            <w:hideMark/>
          </w:tcPr>
          <w:p w14:paraId="679A8116" w14:textId="77777777" w:rsidR="00C12BBD" w:rsidRPr="00C12BBD" w:rsidRDefault="00C12BBD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C12BBD">
              <w:rPr>
                <w:rFonts w:ascii="Verdana" w:hAnsi="Verdana"/>
              </w:rPr>
              <w:t>• Metric 1</w:t>
            </w:r>
            <w:r w:rsidRPr="00C12BBD">
              <w:rPr>
                <w:rFonts w:ascii="Verdana" w:hAnsi="Verdana"/>
              </w:rPr>
              <w:br/>
              <w:t>• Metric 2</w:t>
            </w:r>
          </w:p>
        </w:tc>
        <w:tc>
          <w:tcPr>
            <w:tcW w:w="0" w:type="auto"/>
            <w:hideMark/>
          </w:tcPr>
          <w:p w14:paraId="2D570C33" w14:textId="77777777" w:rsidR="00C12BBD" w:rsidRPr="00C12BBD" w:rsidRDefault="00C12BBD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C12BBD">
              <w:rPr>
                <w:rFonts w:ascii="Verdana" w:hAnsi="Verdana"/>
              </w:rPr>
              <w:t>• Metric 1</w:t>
            </w:r>
            <w:r w:rsidRPr="00C12BBD">
              <w:rPr>
                <w:rFonts w:ascii="Verdana" w:hAnsi="Verdana"/>
              </w:rPr>
              <w:br/>
              <w:t>• Metric 2</w:t>
            </w:r>
          </w:p>
        </w:tc>
      </w:tr>
      <w:tr w:rsidR="00C12BBD" w:rsidRPr="00C12BBD" w14:paraId="275C4202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A89BB72" w14:textId="77777777" w:rsidR="00C12BBD" w:rsidRPr="00C12BBD" w:rsidRDefault="00C12BBD" w:rsidP="005C3B97">
            <w:pPr>
              <w:rPr>
                <w:rFonts w:ascii="Verdana" w:hAnsi="Verdana"/>
              </w:rPr>
            </w:pPr>
            <w:r w:rsidRPr="00C12BBD">
              <w:rPr>
                <w:rFonts w:ascii="Verdana" w:hAnsi="Verdana"/>
              </w:rPr>
              <w:t>Supported Business Objectives</w:t>
            </w:r>
          </w:p>
        </w:tc>
        <w:tc>
          <w:tcPr>
            <w:tcW w:w="0" w:type="auto"/>
            <w:hideMark/>
          </w:tcPr>
          <w:p w14:paraId="20E8DB42" w14:textId="77777777" w:rsidR="00C12BBD" w:rsidRPr="00C12BBD" w:rsidRDefault="00C12BBD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C12BBD">
              <w:rPr>
                <w:rFonts w:ascii="Verdana" w:hAnsi="Verdana"/>
              </w:rPr>
              <w:t>• Business objective 1</w:t>
            </w:r>
            <w:r w:rsidRPr="00C12BBD">
              <w:rPr>
                <w:rFonts w:ascii="Verdana" w:hAnsi="Verdana"/>
              </w:rPr>
              <w:br/>
              <w:t>• Business objective 2</w:t>
            </w:r>
          </w:p>
        </w:tc>
        <w:tc>
          <w:tcPr>
            <w:tcW w:w="0" w:type="auto"/>
            <w:hideMark/>
          </w:tcPr>
          <w:p w14:paraId="20303A76" w14:textId="77777777" w:rsidR="00C12BBD" w:rsidRPr="00C12BBD" w:rsidRDefault="00C12BBD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C12BBD">
              <w:rPr>
                <w:rFonts w:ascii="Verdana" w:hAnsi="Verdana"/>
              </w:rPr>
              <w:t>• Business objective 1</w:t>
            </w:r>
            <w:r w:rsidRPr="00C12BBD">
              <w:rPr>
                <w:rFonts w:ascii="Verdana" w:hAnsi="Verdana"/>
              </w:rPr>
              <w:br/>
              <w:t>• Business objective 2</w:t>
            </w:r>
          </w:p>
        </w:tc>
        <w:tc>
          <w:tcPr>
            <w:tcW w:w="0" w:type="auto"/>
            <w:hideMark/>
          </w:tcPr>
          <w:p w14:paraId="753F7F48" w14:textId="77777777" w:rsidR="00C12BBD" w:rsidRPr="00C12BBD" w:rsidRDefault="00C12BBD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C12BBD">
              <w:rPr>
                <w:rFonts w:ascii="Verdana" w:hAnsi="Verdana"/>
              </w:rPr>
              <w:t>• Business objective 1</w:t>
            </w:r>
            <w:r w:rsidRPr="00C12BBD">
              <w:rPr>
                <w:rFonts w:ascii="Verdana" w:hAnsi="Verdana"/>
              </w:rPr>
              <w:br/>
              <w:t>• Business objective 2</w:t>
            </w:r>
          </w:p>
        </w:tc>
        <w:tc>
          <w:tcPr>
            <w:tcW w:w="0" w:type="auto"/>
            <w:hideMark/>
          </w:tcPr>
          <w:p w14:paraId="2002D2C3" w14:textId="77777777" w:rsidR="00C12BBD" w:rsidRPr="00C12BBD" w:rsidRDefault="00C12BBD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C12BBD">
              <w:rPr>
                <w:rFonts w:ascii="Verdana" w:hAnsi="Verdana"/>
              </w:rPr>
              <w:t>• Business objective 1</w:t>
            </w:r>
            <w:r w:rsidRPr="00C12BBD">
              <w:rPr>
                <w:rFonts w:ascii="Verdana" w:hAnsi="Verdana"/>
              </w:rPr>
              <w:br/>
              <w:t>• Business objective 2</w:t>
            </w:r>
          </w:p>
        </w:tc>
      </w:tr>
    </w:tbl>
    <w:p w14:paraId="195CFEED" w14:textId="026466AB" w:rsidR="00C12BBD" w:rsidRPr="00C12BBD" w:rsidRDefault="00C12BBD" w:rsidP="00C12BBD">
      <w:pPr>
        <w:pStyle w:val="Caption"/>
        <w:rPr>
          <w:rFonts w:ascii="Verdana" w:hAnsi="Verdana"/>
        </w:rPr>
      </w:pPr>
      <w:r w:rsidRPr="00C12BBD">
        <w:rPr>
          <w:rFonts w:ascii="Verdana" w:hAnsi="Verdana"/>
        </w:rPr>
        <w:t xml:space="preserve">Table </w:t>
      </w:r>
      <w:r w:rsidRPr="00C12BBD">
        <w:rPr>
          <w:rFonts w:ascii="Verdana" w:hAnsi="Verdana"/>
        </w:rPr>
        <w:fldChar w:fldCharType="begin"/>
      </w:r>
      <w:r w:rsidRPr="00C12BBD">
        <w:rPr>
          <w:rFonts w:ascii="Verdana" w:hAnsi="Verdana"/>
        </w:rPr>
        <w:instrText xml:space="preserve"> SEQ Table \* ARABIC </w:instrText>
      </w:r>
      <w:r w:rsidRPr="00C12BBD">
        <w:rPr>
          <w:rFonts w:ascii="Verdana" w:hAnsi="Verdana"/>
        </w:rPr>
        <w:fldChar w:fldCharType="separate"/>
      </w:r>
      <w:r w:rsidRPr="00C12BBD">
        <w:rPr>
          <w:rFonts w:ascii="Verdana" w:hAnsi="Verdana"/>
          <w:noProof/>
        </w:rPr>
        <w:t>1</w:t>
      </w:r>
      <w:r w:rsidRPr="00C12BBD">
        <w:rPr>
          <w:rFonts w:ascii="Verdana" w:hAnsi="Verdana"/>
          <w:noProof/>
        </w:rPr>
        <w:fldChar w:fldCharType="end"/>
      </w:r>
      <w:r w:rsidRPr="00C12BBD">
        <w:rPr>
          <w:rFonts w:ascii="Verdana" w:hAnsi="Verdana"/>
        </w:rPr>
        <w:t>: Security Business Value Matrix</w:t>
      </w:r>
    </w:p>
    <w:p w14:paraId="1FAC866B" w14:textId="77777777" w:rsidR="00C12BBD" w:rsidRPr="00C12BBD" w:rsidRDefault="00C12BBD" w:rsidP="00C12BBD">
      <w:pPr>
        <w:pStyle w:val="Heading3"/>
        <w:rPr>
          <w:rFonts w:ascii="Verdana" w:hAnsi="Verdana"/>
        </w:rPr>
      </w:pPr>
      <w:r w:rsidRPr="00C12BBD">
        <w:rPr>
          <w:rFonts w:ascii="Verdana" w:hAnsi="Verdana"/>
        </w:rPr>
        <w:t>EXAMPLE ENTRY:</w:t>
      </w:r>
    </w:p>
    <w:tbl>
      <w:tblPr>
        <w:tblStyle w:val="GridTable4"/>
        <w:tblW w:w="0" w:type="auto"/>
        <w:tblLook w:val="04A0" w:firstRow="1" w:lastRow="0" w:firstColumn="1" w:lastColumn="0" w:noHBand="0" w:noVBand="1"/>
      </w:tblPr>
      <w:tblGrid>
        <w:gridCol w:w="3325"/>
        <w:gridCol w:w="7465"/>
      </w:tblGrid>
      <w:tr w:rsidR="00C12BBD" w:rsidRPr="00C12BBD" w14:paraId="1FFC7F66" w14:textId="77777777" w:rsidTr="005C3B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8AD72D1" w14:textId="77777777" w:rsidR="00C12BBD" w:rsidRPr="00C12BBD" w:rsidRDefault="00C12BBD" w:rsidP="005C3B97">
            <w:pPr>
              <w:rPr>
                <w:rFonts w:ascii="Verdana" w:hAnsi="Verdana"/>
              </w:rPr>
            </w:pPr>
            <w:r w:rsidRPr="00C12BBD">
              <w:rPr>
                <w:rFonts w:ascii="Verdana" w:hAnsi="Verdana"/>
              </w:rPr>
              <w:t>Security Capability</w:t>
            </w:r>
          </w:p>
        </w:tc>
        <w:tc>
          <w:tcPr>
            <w:tcW w:w="0" w:type="auto"/>
            <w:hideMark/>
          </w:tcPr>
          <w:p w14:paraId="711A7B63" w14:textId="77777777" w:rsidR="00C12BBD" w:rsidRPr="00C12BBD" w:rsidRDefault="00C12BBD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C12BBD">
              <w:rPr>
                <w:rFonts w:ascii="Verdana" w:hAnsi="Verdana"/>
              </w:rPr>
              <w:t>Identity &amp; Access Management (IAM)</w:t>
            </w:r>
          </w:p>
        </w:tc>
      </w:tr>
      <w:tr w:rsidR="00C12BBD" w:rsidRPr="00C12BBD" w14:paraId="632F219B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4B03E67" w14:textId="77777777" w:rsidR="00C12BBD" w:rsidRPr="00C12BBD" w:rsidRDefault="00C12BBD" w:rsidP="005C3B97">
            <w:pPr>
              <w:rPr>
                <w:rFonts w:ascii="Verdana" w:hAnsi="Verdana"/>
              </w:rPr>
            </w:pPr>
            <w:r w:rsidRPr="00C12BBD">
              <w:rPr>
                <w:rFonts w:ascii="Verdana" w:hAnsi="Verdana"/>
              </w:rPr>
              <w:t>Operational Enablement</w:t>
            </w:r>
          </w:p>
        </w:tc>
        <w:tc>
          <w:tcPr>
            <w:tcW w:w="0" w:type="auto"/>
            <w:hideMark/>
          </w:tcPr>
          <w:p w14:paraId="6856C0CB" w14:textId="77777777" w:rsidR="00C12BBD" w:rsidRPr="00C12BBD" w:rsidRDefault="00C12BBD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C12BBD">
              <w:rPr>
                <w:rFonts w:ascii="Verdana" w:hAnsi="Verdana"/>
              </w:rPr>
              <w:t>• Enables secure remote work for entire workforce</w:t>
            </w:r>
            <w:r w:rsidRPr="00C12BBD">
              <w:rPr>
                <w:rFonts w:ascii="Verdana" w:hAnsi="Verdana"/>
              </w:rPr>
              <w:br/>
              <w:t>• Reduces friction in accessing systems while maintaining security</w:t>
            </w:r>
            <w:r w:rsidRPr="00C12BBD">
              <w:rPr>
                <w:rFonts w:ascii="Verdana" w:hAnsi="Verdana"/>
              </w:rPr>
              <w:br/>
              <w:t>• Supports business continuity during disruptions (e.g., pandemic, weather events)</w:t>
            </w:r>
          </w:p>
        </w:tc>
      </w:tr>
      <w:tr w:rsidR="00C12BBD" w:rsidRPr="00C12BBD" w14:paraId="7694B35D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2292CCC" w14:textId="77777777" w:rsidR="00C12BBD" w:rsidRPr="00C12BBD" w:rsidRDefault="00C12BBD" w:rsidP="005C3B97">
            <w:pPr>
              <w:rPr>
                <w:rFonts w:ascii="Verdana" w:hAnsi="Verdana"/>
              </w:rPr>
            </w:pPr>
            <w:r w:rsidRPr="00C12BBD">
              <w:rPr>
                <w:rFonts w:ascii="Verdana" w:hAnsi="Verdana"/>
              </w:rPr>
              <w:t>Trust Creation</w:t>
            </w:r>
          </w:p>
        </w:tc>
        <w:tc>
          <w:tcPr>
            <w:tcW w:w="0" w:type="auto"/>
            <w:hideMark/>
          </w:tcPr>
          <w:p w14:paraId="20A860C2" w14:textId="77777777" w:rsidR="00C12BBD" w:rsidRPr="00C12BBD" w:rsidRDefault="00C12BBD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C12BBD">
              <w:rPr>
                <w:rFonts w:ascii="Verdana" w:hAnsi="Verdana"/>
              </w:rPr>
              <w:t>• Protects customer data from unauthorized access</w:t>
            </w:r>
            <w:r w:rsidRPr="00C12BBD">
              <w:rPr>
                <w:rFonts w:ascii="Verdana" w:hAnsi="Verdana"/>
              </w:rPr>
              <w:br/>
              <w:t>• Demonstrates security commitment to customers and partners</w:t>
            </w:r>
            <w:r w:rsidRPr="00C12BBD">
              <w:rPr>
                <w:rFonts w:ascii="Verdana" w:hAnsi="Verdana"/>
              </w:rPr>
              <w:br/>
              <w:t>• Provides transparent access controls that build confidence</w:t>
            </w:r>
          </w:p>
        </w:tc>
      </w:tr>
      <w:tr w:rsidR="00C12BBD" w:rsidRPr="00C12BBD" w14:paraId="4F360D88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1B1DC2A" w14:textId="77777777" w:rsidR="00C12BBD" w:rsidRPr="00C12BBD" w:rsidRDefault="00C12BBD" w:rsidP="005C3B97">
            <w:pPr>
              <w:rPr>
                <w:rFonts w:ascii="Verdana" w:hAnsi="Verdana"/>
              </w:rPr>
            </w:pPr>
            <w:r w:rsidRPr="00C12BBD">
              <w:rPr>
                <w:rFonts w:ascii="Verdana" w:hAnsi="Verdana"/>
              </w:rPr>
              <w:t>Compliance Advantage</w:t>
            </w:r>
          </w:p>
        </w:tc>
        <w:tc>
          <w:tcPr>
            <w:tcW w:w="0" w:type="auto"/>
            <w:hideMark/>
          </w:tcPr>
          <w:p w14:paraId="5F5807F4" w14:textId="77777777" w:rsidR="00C12BBD" w:rsidRPr="00C12BBD" w:rsidRDefault="00C12BBD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C12BBD">
              <w:rPr>
                <w:rFonts w:ascii="Verdana" w:hAnsi="Verdana"/>
              </w:rPr>
              <w:t>• Satisfies regulatory requirements for access controls across multiple regulations</w:t>
            </w:r>
            <w:r w:rsidRPr="00C12BBD">
              <w:rPr>
                <w:rFonts w:ascii="Verdana" w:hAnsi="Verdana"/>
              </w:rPr>
              <w:br/>
              <w:t>• Streamlines compliance reporting with centralized access logs</w:t>
            </w:r>
            <w:r w:rsidRPr="00C12BBD">
              <w:rPr>
                <w:rFonts w:ascii="Verdana" w:hAnsi="Verdana"/>
              </w:rPr>
              <w:br/>
              <w:t>• Enables faster entry into regulated markets with proven controls</w:t>
            </w:r>
          </w:p>
        </w:tc>
      </w:tr>
      <w:tr w:rsidR="00C12BBD" w:rsidRPr="00C12BBD" w14:paraId="4514B017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7B1F7D7" w14:textId="77777777" w:rsidR="00C12BBD" w:rsidRPr="00C12BBD" w:rsidRDefault="00C12BBD" w:rsidP="005C3B97">
            <w:pPr>
              <w:rPr>
                <w:rFonts w:ascii="Verdana" w:hAnsi="Verdana"/>
              </w:rPr>
            </w:pPr>
            <w:r w:rsidRPr="00C12BBD">
              <w:rPr>
                <w:rFonts w:ascii="Verdana" w:hAnsi="Verdana"/>
              </w:rPr>
              <w:t>Innovation Support</w:t>
            </w:r>
          </w:p>
        </w:tc>
        <w:tc>
          <w:tcPr>
            <w:tcW w:w="0" w:type="auto"/>
            <w:hideMark/>
          </w:tcPr>
          <w:p w14:paraId="317DE05A" w14:textId="77777777" w:rsidR="00C12BBD" w:rsidRPr="00C12BBD" w:rsidRDefault="00C12BBD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C12BBD">
              <w:rPr>
                <w:rFonts w:ascii="Verdana" w:hAnsi="Verdana"/>
              </w:rPr>
              <w:t>• Enables secure adoption of cloud services</w:t>
            </w:r>
            <w:r w:rsidRPr="00C12BBD">
              <w:rPr>
                <w:rFonts w:ascii="Verdana" w:hAnsi="Verdana"/>
              </w:rPr>
              <w:br/>
              <w:t>• Provides security foundation for new digital product offerings</w:t>
            </w:r>
            <w:r w:rsidRPr="00C12BBD">
              <w:rPr>
                <w:rFonts w:ascii="Verdana" w:hAnsi="Verdana"/>
              </w:rPr>
              <w:br/>
              <w:t>• Allows controlled access to development environments for experimentation</w:t>
            </w:r>
          </w:p>
        </w:tc>
      </w:tr>
      <w:tr w:rsidR="00C12BBD" w:rsidRPr="00C12BBD" w14:paraId="2177E2D7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5B44290" w14:textId="77777777" w:rsidR="00C12BBD" w:rsidRPr="00C12BBD" w:rsidRDefault="00C12BBD" w:rsidP="005C3B97">
            <w:pPr>
              <w:rPr>
                <w:rFonts w:ascii="Verdana" w:hAnsi="Verdana"/>
              </w:rPr>
            </w:pPr>
            <w:r w:rsidRPr="00C12BBD">
              <w:rPr>
                <w:rFonts w:ascii="Verdana" w:hAnsi="Verdana"/>
              </w:rPr>
              <w:t>Business Value Created</w:t>
            </w:r>
          </w:p>
        </w:tc>
        <w:tc>
          <w:tcPr>
            <w:tcW w:w="0" w:type="auto"/>
            <w:hideMark/>
          </w:tcPr>
          <w:p w14:paraId="2F6A70D8" w14:textId="77777777" w:rsidR="00C12BBD" w:rsidRPr="00C12BBD" w:rsidRDefault="00C12BBD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C12BBD">
              <w:rPr>
                <w:rFonts w:ascii="Verdana" w:hAnsi="Verdana"/>
              </w:rPr>
              <w:t>• 35% increase in workforce productivity through seamless access</w:t>
            </w:r>
            <w:r w:rsidRPr="00C12BBD">
              <w:rPr>
                <w:rFonts w:ascii="Verdana" w:hAnsi="Verdana"/>
              </w:rPr>
              <w:br/>
              <w:t>• $1.2M in cost avoidance from centralized access management</w:t>
            </w:r>
            <w:r w:rsidRPr="00C12BBD">
              <w:rPr>
                <w:rFonts w:ascii="Verdana" w:hAnsi="Verdana"/>
              </w:rPr>
              <w:br/>
              <w:t>• 40% faster time-to-market for new digital offerings</w:t>
            </w:r>
            <w:r w:rsidRPr="00C12BBD">
              <w:rPr>
                <w:rFonts w:ascii="Verdana" w:hAnsi="Verdana"/>
              </w:rPr>
              <w:br/>
              <w:t>• 25% reduction in compliance reporting effort</w:t>
            </w:r>
          </w:p>
        </w:tc>
      </w:tr>
      <w:tr w:rsidR="00C12BBD" w:rsidRPr="00C12BBD" w14:paraId="675C9E57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F4619D1" w14:textId="77777777" w:rsidR="00C12BBD" w:rsidRPr="00C12BBD" w:rsidRDefault="00C12BBD" w:rsidP="005C3B97">
            <w:pPr>
              <w:rPr>
                <w:rFonts w:ascii="Verdana" w:hAnsi="Verdana"/>
              </w:rPr>
            </w:pPr>
            <w:r w:rsidRPr="00C12BBD">
              <w:rPr>
                <w:rFonts w:ascii="Verdana" w:hAnsi="Verdana"/>
              </w:rPr>
              <w:lastRenderedPageBreak/>
              <w:t>Key Metrics</w:t>
            </w:r>
          </w:p>
        </w:tc>
        <w:tc>
          <w:tcPr>
            <w:tcW w:w="0" w:type="auto"/>
            <w:hideMark/>
          </w:tcPr>
          <w:p w14:paraId="0F5913E3" w14:textId="77777777" w:rsidR="00C12BBD" w:rsidRPr="00C12BBD" w:rsidRDefault="00C12BBD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C12BBD">
              <w:rPr>
                <w:rFonts w:ascii="Verdana" w:hAnsi="Verdana"/>
              </w:rPr>
              <w:t>• % of workforce able to work remotely securely</w:t>
            </w:r>
            <w:r w:rsidRPr="00C12BBD">
              <w:rPr>
                <w:rFonts w:ascii="Verdana" w:hAnsi="Verdana"/>
              </w:rPr>
              <w:br/>
              <w:t>• Time savings per employee from streamlined authentication</w:t>
            </w:r>
            <w:r w:rsidRPr="00C12BBD">
              <w:rPr>
                <w:rFonts w:ascii="Verdana" w:hAnsi="Verdana"/>
              </w:rPr>
              <w:br/>
              <w:t>• Reduction in access-related support tickets</w:t>
            </w:r>
            <w:r w:rsidRPr="00C12BBD">
              <w:rPr>
                <w:rFonts w:ascii="Verdana" w:hAnsi="Verdana"/>
              </w:rPr>
              <w:br/>
              <w:t>• Time-to-provision access for new projects</w:t>
            </w:r>
            <w:r w:rsidRPr="00C12BBD">
              <w:rPr>
                <w:rFonts w:ascii="Verdana" w:hAnsi="Verdana"/>
              </w:rPr>
              <w:br/>
              <w:t>• Compliance reporting time reduction</w:t>
            </w:r>
          </w:p>
        </w:tc>
      </w:tr>
      <w:tr w:rsidR="00C12BBD" w:rsidRPr="00C12BBD" w14:paraId="69691CAF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7335641" w14:textId="77777777" w:rsidR="00C12BBD" w:rsidRPr="00C12BBD" w:rsidRDefault="00C12BBD" w:rsidP="005C3B97">
            <w:pPr>
              <w:rPr>
                <w:rFonts w:ascii="Verdana" w:hAnsi="Verdana"/>
              </w:rPr>
            </w:pPr>
            <w:r w:rsidRPr="00C12BBD">
              <w:rPr>
                <w:rFonts w:ascii="Verdana" w:hAnsi="Verdana"/>
              </w:rPr>
              <w:t>Supported Business Objectives</w:t>
            </w:r>
          </w:p>
        </w:tc>
        <w:tc>
          <w:tcPr>
            <w:tcW w:w="0" w:type="auto"/>
            <w:hideMark/>
          </w:tcPr>
          <w:p w14:paraId="3780F5F9" w14:textId="77777777" w:rsidR="00C12BBD" w:rsidRPr="00C12BBD" w:rsidRDefault="00C12BBD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C12BBD">
              <w:rPr>
                <w:rFonts w:ascii="Verdana" w:hAnsi="Verdana"/>
              </w:rPr>
              <w:t>• Enable 100% workforce flexibility</w:t>
            </w:r>
            <w:r w:rsidRPr="00C12BBD">
              <w:rPr>
                <w:rFonts w:ascii="Verdana" w:hAnsi="Verdana"/>
              </w:rPr>
              <w:br/>
              <w:t>• Accelerate digital transformation initiatives</w:t>
            </w:r>
            <w:r w:rsidRPr="00C12BBD">
              <w:rPr>
                <w:rFonts w:ascii="Verdana" w:hAnsi="Verdana"/>
              </w:rPr>
              <w:br/>
              <w:t>• Expand into healthcare and financial services markets</w:t>
            </w:r>
            <w:r w:rsidRPr="00C12BBD">
              <w:rPr>
                <w:rFonts w:ascii="Verdana" w:hAnsi="Verdana"/>
              </w:rPr>
              <w:br/>
              <w:t>• Improve operational efficiency by 20%</w:t>
            </w:r>
          </w:p>
        </w:tc>
      </w:tr>
    </w:tbl>
    <w:p w14:paraId="007E4D81" w14:textId="6F190371" w:rsidR="00C12BBD" w:rsidRPr="00C12BBD" w:rsidRDefault="00C12BBD" w:rsidP="00C12BBD">
      <w:pPr>
        <w:pStyle w:val="Caption"/>
        <w:rPr>
          <w:rFonts w:ascii="Verdana" w:hAnsi="Verdana"/>
        </w:rPr>
      </w:pPr>
      <w:r w:rsidRPr="00C12BBD">
        <w:rPr>
          <w:rFonts w:ascii="Verdana" w:hAnsi="Verdana"/>
        </w:rPr>
        <w:t xml:space="preserve">Table </w:t>
      </w:r>
      <w:r w:rsidRPr="00C12BBD">
        <w:rPr>
          <w:rFonts w:ascii="Verdana" w:hAnsi="Verdana"/>
        </w:rPr>
        <w:fldChar w:fldCharType="begin"/>
      </w:r>
      <w:r w:rsidRPr="00C12BBD">
        <w:rPr>
          <w:rFonts w:ascii="Verdana" w:hAnsi="Verdana"/>
        </w:rPr>
        <w:instrText xml:space="preserve"> SEQ Table \* ARABIC </w:instrText>
      </w:r>
      <w:r w:rsidRPr="00C12BBD">
        <w:rPr>
          <w:rFonts w:ascii="Verdana" w:hAnsi="Verdana"/>
        </w:rPr>
        <w:fldChar w:fldCharType="separate"/>
      </w:r>
      <w:r w:rsidRPr="00C12BBD">
        <w:rPr>
          <w:rFonts w:ascii="Verdana" w:hAnsi="Verdana"/>
          <w:noProof/>
        </w:rPr>
        <w:t>2</w:t>
      </w:r>
      <w:r w:rsidRPr="00C12BBD">
        <w:rPr>
          <w:rFonts w:ascii="Verdana" w:hAnsi="Verdana"/>
          <w:noProof/>
        </w:rPr>
        <w:fldChar w:fldCharType="end"/>
      </w:r>
      <w:r w:rsidRPr="00C12BBD">
        <w:rPr>
          <w:rFonts w:ascii="Verdana" w:hAnsi="Verdana"/>
        </w:rPr>
        <w:t>: Example Entry</w:t>
      </w:r>
    </w:p>
    <w:p w14:paraId="086FFEDF" w14:textId="77777777" w:rsidR="00C12BBD" w:rsidRPr="00C12BBD" w:rsidRDefault="00C12BBD" w:rsidP="00C12BBD">
      <w:pPr>
        <w:pStyle w:val="Heading2"/>
        <w:rPr>
          <w:rFonts w:ascii="Verdana" w:hAnsi="Verdana"/>
        </w:rPr>
      </w:pPr>
      <w:r w:rsidRPr="00C12BBD">
        <w:rPr>
          <w:rFonts w:ascii="Verdana" w:hAnsi="Verdana"/>
        </w:rPr>
        <w:t>IMPLEMENTATION TIPS:</w:t>
      </w:r>
    </w:p>
    <w:p w14:paraId="4B915C8C" w14:textId="77777777" w:rsidR="00C12BBD" w:rsidRPr="00C12BBD" w:rsidRDefault="00C12BBD" w:rsidP="00C12BBD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C12BBD">
        <w:rPr>
          <w:rFonts w:ascii="Verdana" w:hAnsi="Verdana"/>
        </w:rPr>
        <w:t>Start with your top 3-5 security capabilities that have the clearest business impact to build momentum</w:t>
      </w:r>
    </w:p>
    <w:p w14:paraId="22983A4B" w14:textId="77777777" w:rsidR="00C12BBD" w:rsidRPr="00C12BBD" w:rsidRDefault="00C12BBD" w:rsidP="00C12BBD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C12BBD">
        <w:rPr>
          <w:rFonts w:ascii="Verdana" w:hAnsi="Verdana"/>
        </w:rPr>
        <w:t>Collaborate with business stakeholders to identify and articulate the business value created</w:t>
      </w:r>
    </w:p>
    <w:p w14:paraId="45011FB8" w14:textId="77777777" w:rsidR="00C12BBD" w:rsidRPr="00C12BBD" w:rsidRDefault="00C12BBD" w:rsidP="00C12BBD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C12BBD">
        <w:rPr>
          <w:rFonts w:ascii="Verdana" w:hAnsi="Verdana"/>
        </w:rPr>
        <w:t>Use specific, quantifiable metrics whenever possible rather than general statements</w:t>
      </w:r>
    </w:p>
    <w:p w14:paraId="2C3F0784" w14:textId="77777777" w:rsidR="005A3C36" w:rsidRPr="00C12BBD" w:rsidRDefault="005A3C36" w:rsidP="00C12BBD">
      <w:pPr>
        <w:rPr>
          <w:rFonts w:ascii="Verdana" w:hAnsi="Verdana"/>
        </w:rPr>
      </w:pPr>
    </w:p>
    <w:sectPr w:rsidR="005A3C36" w:rsidRPr="00C12BBD" w:rsidSect="009716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ED1699" w14:textId="77777777" w:rsidR="0025069C" w:rsidRDefault="0025069C" w:rsidP="005A3C36">
      <w:pPr>
        <w:spacing w:after="0" w:line="240" w:lineRule="auto"/>
      </w:pPr>
      <w:r>
        <w:separator/>
      </w:r>
    </w:p>
  </w:endnote>
  <w:endnote w:type="continuationSeparator" w:id="0">
    <w:p w14:paraId="55E4DC91" w14:textId="77777777" w:rsidR="0025069C" w:rsidRDefault="0025069C" w:rsidP="005A3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FDD6D" w14:textId="77777777" w:rsidR="00791B7B" w:rsidRDefault="00791B7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4FF2B" w14:textId="11AD5CD7" w:rsidR="005A3C36" w:rsidRPr="005A3C36" w:rsidRDefault="00791B7B">
    <w:pPr>
      <w:pStyle w:val="Footer"/>
      <w:rPr>
        <w:rFonts w:ascii="Verdana" w:hAnsi="Verdana"/>
      </w:rPr>
    </w:pPr>
    <w:r w:rsidRPr="005A3C36">
      <w:rPr>
        <w:rFonts w:ascii="Verdana" w:hAnsi="Verdana"/>
      </w:rPr>
      <w:t>©</w:t>
    </w:r>
    <w:hyperlink r:id="rId1" w:history="1">
      <w:r w:rsidRPr="00A77713">
        <w:rPr>
          <w:rStyle w:val="Hyperlink"/>
          <w:rFonts w:ascii="Verdana" w:hAnsi="Verdana"/>
        </w:rPr>
        <w:t>Kayne McGladrey</w:t>
      </w:r>
    </w:hyperlink>
    <w:r w:rsidRPr="005A3C36">
      <w:rPr>
        <w:rFonts w:ascii="Verdana" w:hAnsi="Verdana"/>
      </w:rPr>
      <w:t xml:space="preserve"> – </w:t>
    </w:r>
    <w:hyperlink r:id="rId2" w:history="1">
      <w:r w:rsidRPr="00A96ED3">
        <w:rPr>
          <w:rStyle w:val="Hyperlink"/>
          <w:rFonts w:ascii="Verdana" w:hAnsi="Verdana"/>
        </w:rPr>
        <w:t>Get the fu</w:t>
      </w:r>
      <w:r w:rsidRPr="00A96ED3">
        <w:rPr>
          <w:rStyle w:val="Hyperlink"/>
          <w:rFonts w:ascii="Verdana" w:hAnsi="Verdana"/>
        </w:rPr>
        <w:t>l</w:t>
      </w:r>
      <w:r w:rsidRPr="00A96ED3">
        <w:rPr>
          <w:rStyle w:val="Hyperlink"/>
          <w:rFonts w:ascii="Verdana" w:hAnsi="Verdana"/>
        </w:rPr>
        <w:t>l book</w:t>
      </w:r>
      <w:r w:rsidRPr="00A96ED3">
        <w:rPr>
          <w:rStyle w:val="Hyperlink"/>
          <w:rFonts w:ascii="Verdana" w:hAnsi="Verdana"/>
        </w:rPr>
        <w:tab/>
      </w:r>
    </w:hyperlink>
    <w:r>
      <w:rPr>
        <w:rFonts w:ascii="Verdana" w:hAnsi="Verdana"/>
      </w:rPr>
      <w:tab/>
    </w:r>
    <w:r w:rsidRPr="005A3C36">
      <w:rPr>
        <w:rFonts w:ascii="Verdana" w:hAnsi="Verdana"/>
      </w:rPr>
      <w:tab/>
    </w:r>
    <w:r w:rsidRPr="005A3C36">
      <w:rPr>
        <w:rFonts w:ascii="Verdana" w:hAnsi="Verdana"/>
      </w:rPr>
      <w:fldChar w:fldCharType="begin"/>
    </w:r>
    <w:r w:rsidRPr="005A3C36">
      <w:rPr>
        <w:rFonts w:ascii="Verdana" w:hAnsi="Verdana"/>
      </w:rPr>
      <w:instrText xml:space="preserve"> PAGE   \* MERGEFORMAT </w:instrText>
    </w:r>
    <w:r w:rsidRPr="005A3C36">
      <w:rPr>
        <w:rFonts w:ascii="Verdana" w:hAnsi="Verdana"/>
      </w:rPr>
      <w:fldChar w:fldCharType="separate"/>
    </w:r>
    <w:r>
      <w:rPr>
        <w:rFonts w:ascii="Verdana" w:hAnsi="Verdana"/>
      </w:rPr>
      <w:t>1</w:t>
    </w:r>
    <w:r w:rsidRPr="005A3C36">
      <w:rPr>
        <w:rFonts w:ascii="Verdana" w:hAnsi="Verdana"/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BA7B5" w14:textId="77777777" w:rsidR="00791B7B" w:rsidRDefault="00791B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E14D86" w14:textId="77777777" w:rsidR="0025069C" w:rsidRDefault="0025069C" w:rsidP="005A3C36">
      <w:pPr>
        <w:spacing w:after="0" w:line="240" w:lineRule="auto"/>
      </w:pPr>
      <w:r>
        <w:separator/>
      </w:r>
    </w:p>
  </w:footnote>
  <w:footnote w:type="continuationSeparator" w:id="0">
    <w:p w14:paraId="25CA783D" w14:textId="77777777" w:rsidR="0025069C" w:rsidRDefault="0025069C" w:rsidP="005A3C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3053D" w14:textId="77777777" w:rsidR="00791B7B" w:rsidRDefault="00791B7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B123A" w14:textId="08F65A28" w:rsidR="005A3C36" w:rsidRPr="005A3C36" w:rsidRDefault="005A3C36">
    <w:pPr>
      <w:pStyle w:val="Header"/>
      <w:rPr>
        <w:rFonts w:ascii="Verdana" w:hAnsi="Verdana"/>
      </w:rPr>
    </w:pPr>
    <w:r>
      <w:rPr>
        <w:rFonts w:ascii="Verdana" w:hAnsi="Verdana"/>
      </w:rPr>
      <w:t xml:space="preserve">Cyber Risk is a Myth – Chapter </w:t>
    </w:r>
    <w:r w:rsidR="00C12BBD">
      <w:rPr>
        <w:rFonts w:ascii="Verdana" w:hAnsi="Verdana"/>
      </w:rPr>
      <w:t>9</w:t>
    </w:r>
    <w:r>
      <w:rPr>
        <w:rFonts w:ascii="Verdana" w:hAnsi="Verdana"/>
      </w:rPr>
      <w:t xml:space="preserve"> - Kayne McGladrey, CISSP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87E1E" w14:textId="77777777" w:rsidR="00791B7B" w:rsidRDefault="00791B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A00471"/>
    <w:multiLevelType w:val="hybridMultilevel"/>
    <w:tmpl w:val="470ABABA"/>
    <w:lvl w:ilvl="0" w:tplc="9DA07E1E">
      <w:numFmt w:val="bullet"/>
      <w:lvlText w:val="•"/>
      <w:lvlJc w:val="left"/>
      <w:pPr>
        <w:ind w:left="1440" w:hanging="72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9251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attachedTemplate r:id="rId1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BBD"/>
    <w:rsid w:val="000756A1"/>
    <w:rsid w:val="0025069C"/>
    <w:rsid w:val="002A6616"/>
    <w:rsid w:val="002B75FE"/>
    <w:rsid w:val="00337770"/>
    <w:rsid w:val="004B29F0"/>
    <w:rsid w:val="00543E0E"/>
    <w:rsid w:val="005A3C36"/>
    <w:rsid w:val="006E4237"/>
    <w:rsid w:val="00791B7B"/>
    <w:rsid w:val="007C7472"/>
    <w:rsid w:val="0097167D"/>
    <w:rsid w:val="00A80303"/>
    <w:rsid w:val="00B56A81"/>
    <w:rsid w:val="00C12BBD"/>
    <w:rsid w:val="00EF110D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C0682F"/>
  <w15:chartTrackingRefBased/>
  <w15:docId w15:val="{77F84836-87FA-497A-9E0D-B896118A6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2BBD"/>
  </w:style>
  <w:style w:type="paragraph" w:styleId="Heading1">
    <w:name w:val="heading 1"/>
    <w:basedOn w:val="Normal"/>
    <w:next w:val="Normal"/>
    <w:link w:val="Heading1Char"/>
    <w:uiPriority w:val="9"/>
    <w:qFormat/>
    <w:rsid w:val="005A3C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A3C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A3C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A3C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3C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3C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3C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3C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3C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3C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A3C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A3C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3C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3C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3C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3C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3C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3C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3C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3C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3C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3C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3C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3C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3C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3C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3C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3C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3C3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A3C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3C36"/>
  </w:style>
  <w:style w:type="paragraph" w:styleId="Footer">
    <w:name w:val="footer"/>
    <w:basedOn w:val="Normal"/>
    <w:link w:val="FooterChar"/>
    <w:uiPriority w:val="99"/>
    <w:unhideWhenUsed/>
    <w:rsid w:val="005A3C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3C36"/>
  </w:style>
  <w:style w:type="paragraph" w:styleId="Caption">
    <w:name w:val="caption"/>
    <w:basedOn w:val="Normal"/>
    <w:next w:val="Normal"/>
    <w:uiPriority w:val="35"/>
    <w:unhideWhenUsed/>
    <w:qFormat/>
    <w:rsid w:val="00C12BBD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table" w:styleId="GridTable4">
    <w:name w:val="Grid Table 4"/>
    <w:basedOn w:val="TableNormal"/>
    <w:uiPriority w:val="49"/>
    <w:rsid w:val="00C12BBD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91B7B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91B7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routledge.com/Cyber-Risk-is-a-Myth-A-Business-Approach-to-Integrated-Risk-Management/McGladrey/p/book/9781041249054" TargetMode="External"/><Relationship Id="rId1" Type="http://schemas.openxmlformats.org/officeDocument/2006/relationships/hyperlink" Target="https://kaynemcgladrey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yne\Documents\Custom%20Office%20Templates\Downloadable%20Resource%20-%20better%20margin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Downloadable Resource - better margins.dotx</Template>
  <TotalTime>1</TotalTime>
  <Pages>2</Pages>
  <Words>503</Words>
  <Characters>2868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>Chapter #: (NAME)</vt:lpstr>
      <vt:lpstr>Security Business Enablement Matrix</vt:lpstr>
      <vt:lpstr>    SECURITY BUSINESS VALUE MATRIX</vt:lpstr>
      <vt:lpstr>        EXAMPLE ENTRY:</vt:lpstr>
      <vt:lpstr>    IMPLEMENTATION TIPS:</vt:lpstr>
    </vt:vector>
  </TitlesOfParts>
  <Company/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 9: Security Business Enablement Matrix</dc:title>
  <dc:subject>Cybersecurity, Risk Management</dc:subject>
  <dc:creator>Kayne McGladrey</dc:creator>
  <cp:keywords/>
  <dc:description>From the book "Cyber Risk is a Myth" by Kayne McGladrey</dc:description>
  <cp:lastModifiedBy>Kayne McGladrey</cp:lastModifiedBy>
  <cp:revision>2</cp:revision>
  <dcterms:created xsi:type="dcterms:W3CDTF">2025-08-25T18:35:00Z</dcterms:created>
  <dcterms:modified xsi:type="dcterms:W3CDTF">2026-05-19T20:04:00Z</dcterms:modified>
</cp:coreProperties>
</file>